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E5495E" w:rsidRPr="00E5495E">
        <w:rPr>
          <w:rFonts w:eastAsia="Times New Roman"/>
          <w:b/>
          <w:bCs/>
          <w:sz w:val="52"/>
        </w:rPr>
        <w:t>17912  </w:t>
      </w:r>
    </w:p>
    <w:p w:rsidR="00857533" w:rsidRPr="00857533" w:rsidRDefault="00E5495E" w:rsidP="00857533">
      <w:pPr>
        <w:jc w:val="right"/>
        <w:rPr>
          <w:b/>
          <w:sz w:val="28"/>
        </w:rPr>
      </w:pPr>
      <w:r>
        <w:rPr>
          <w:b/>
          <w:sz w:val="28"/>
        </w:rPr>
        <w:t>Macau, SAR,</w:t>
      </w:r>
      <w:r w:rsidR="00857533" w:rsidRPr="00857533">
        <w:rPr>
          <w:b/>
          <w:sz w:val="28"/>
        </w:rPr>
        <w:t xml:space="preserve"> </w:t>
      </w:r>
      <w:r w:rsidR="00857533">
        <w:rPr>
          <w:b/>
          <w:sz w:val="28"/>
        </w:rPr>
        <w:t>C</w:t>
      </w:r>
      <w:r>
        <w:rPr>
          <w:b/>
          <w:sz w:val="28"/>
        </w:rPr>
        <w:t>N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October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>2018</w:t>
      </w:r>
      <w:bookmarkStart w:id="0" w:name="_GoBack"/>
      <w:bookmarkEnd w:id="0"/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556"/>
      </w:tblGrid>
      <w:tr w:rsidR="00857533" w:rsidRPr="00857533" w:rsidTr="00E5495E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E5495E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E5495E" w:rsidP="00406BFA">
            <w:pPr>
              <w:rPr>
                <w:b/>
              </w:rPr>
            </w:pPr>
            <w:r w:rsidRPr="00264111">
              <w:rPr>
                <w:rFonts w:eastAsia="Times New Roman"/>
                <w:b/>
                <w:bCs/>
              </w:rPr>
              <w:t>MPEG time line 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E5495E" w:rsidP="00857533">
      <w:pPr>
        <w:jc w:val="center"/>
        <w:rPr>
          <w:b/>
          <w:sz w:val="28"/>
        </w:rPr>
      </w:pPr>
      <w:r w:rsidRPr="00E5495E">
        <w:rPr>
          <w:b/>
          <w:sz w:val="28"/>
        </w:rPr>
        <w:t>MPEG time line</w:t>
      </w:r>
    </w:p>
    <w:p w:rsidR="00E5495E" w:rsidRDefault="00E5495E" w:rsidP="00E5495E"/>
    <w:p w:rsidR="00E5495E" w:rsidRDefault="00E5495E" w:rsidP="00E5495E"/>
    <w:tbl>
      <w:tblPr>
        <w:tblStyle w:val="TableGrid"/>
        <w:tblW w:w="14713" w:type="dxa"/>
        <w:tblLook w:val="04A0" w:firstRow="1" w:lastRow="0" w:firstColumn="1" w:lastColumn="0" w:noHBand="0" w:noVBand="1"/>
      </w:tblPr>
      <w:tblGrid>
        <w:gridCol w:w="1443"/>
        <w:gridCol w:w="1795"/>
        <w:gridCol w:w="2227"/>
        <w:gridCol w:w="776"/>
        <w:gridCol w:w="456"/>
        <w:gridCol w:w="910"/>
        <w:gridCol w:w="910"/>
        <w:gridCol w:w="910"/>
        <w:gridCol w:w="910"/>
        <w:gridCol w:w="910"/>
        <w:gridCol w:w="910"/>
        <w:gridCol w:w="910"/>
        <w:gridCol w:w="910"/>
        <w:gridCol w:w="736"/>
      </w:tblGrid>
      <w:tr w:rsidR="00E5495E" w:rsidRPr="00E5495E" w:rsidTr="00E5495E"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Part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Title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Type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E/A/C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124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125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126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127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128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129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130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131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  <w:rPr>
                <w:b/>
              </w:rPr>
            </w:pPr>
            <w:r w:rsidRPr="00E5495E">
              <w:rPr>
                <w:b/>
              </w:rPr>
              <w:t>132</w:t>
            </w: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MPEG-2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1 - Systems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Carriage of JPEG XS in MPEG-2 TS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MPEG-2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1 - Systems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Carriage of associated CMAF boxes for audio-visual elementary streams in MPEG-2 TS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3 - Audio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Audio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5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10 - Advanced Video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Additional supplemental enhancement information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12 - ISO Base Media File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Compact Sample-to-Group, new capabilities for tracks, and other improvements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12 - ISO Base Media File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Box relative data addressing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12 - ISO Base Media File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Corrected audio handling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3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15 - Carriage of NAL unit structured video in the ISO Base Media File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Additional Brands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15 - Carriage of NAL unit structured video in the ISO Base Media File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COR 1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22 - Open Font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Colour font technology and other updates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32 - Reference software and conformance for file formats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Reference Software and Conformance for File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34 - Registration Authorities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Registration Authority for MPEG-4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MPEG-7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15 - Compact descriptors for video analysis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Compact Descriptors for Video Analysis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MPEG-7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16 - Conformance and Reference Software for Compact Descriptors for Video Analysis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Conformance and Reference Software for Compact Descriptors for Video Analysis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MPEG-21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22 - User Description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User Description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MPEG-A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19 - Common Media Application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HEVC Media Profiles update, new CMAF Structural Brand and other improvements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3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MPEG-A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21 - Visual Identity Management Application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Visual Identity Management Application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MPEG-A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22 - Multi-Image Application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Multi-Image Application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MPEG-B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7 - Common Encryption for ISO Base Media File Format Files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Multi-Keyed Samples, Content Sensitive Encryption and Item Protection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MPEG-B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10 - Carriage of Timed Metadata Metrics of Media in ISO Base Media File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Support for Encoded Region of Interest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MPEG-B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13 - Media orchestration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Multimedia Orchestration reference Software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MPEG-B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14 - Partial File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Partial File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MPEG-B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15 - Carriage of Web Resources in ISOBMFF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Carriage of Web Resource in ISOBMFF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MPEG-D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3 - Unified Speech and Audio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Unified Speech and Audio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MPEG-D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4 - Dynamic Range Control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ISO/IEC 23003-4:201x [Edition 2] Dynamic Range Control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MPEG-D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4 - Dynamic Range Control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DRC Conformance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3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MPEG-D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4 - Dynamic Range Control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Dynamic Range Control/Amd.4:201x Conformance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4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MPEG-D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5 - Uncompressed Audio in MP4 FF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Uncompressed Audio in MP4 FF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MPEG-V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7 - Reference Software and Conformance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Reference Software and Conformance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4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1 - MPEG Media Transport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MPEG Media Transport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3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1 - MPEG Media Transport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MPEG Media Transport CDN support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3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2 - High Efficiency Video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High Efficiency Video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4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2 - High Efficiency Video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Additional supplemental enhancement information for HEVC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4 - MMT Reference Software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MMT Reference Software with Network Capabilities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6 - 3D Audio Reference Software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3D audio reference software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7 - MMT Conformance testing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MMT Conformance Testing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8 - HEVC Conformance testing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Conformance testing for Screen Content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10 - MPEG Media Transport FEC Codes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Window-based FEC code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13 - MMT Implementation Guidelines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MPEG Media Transport Implementation Guidelines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4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MPEG-DASH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1 - Media presentation description and segment formats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Device information and other extensions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5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MPEG-DASH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1 - Media presentation description and segment formats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Media presentation description and segment formats/Cor.3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3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DCOR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DCOR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COR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MPEG-DASH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2 - Reference software and conformance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Conformance and reference software regarding SRD, SAND and Server Push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AMD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FDAM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MPEG-DASH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3 - Implementation guidelines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MPEG-DASH Implementation Guidelines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MPEG-DASH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7 - Delivery of CMAF content with DASH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Delivery of CMAF content with DASH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2 - Omnidirectional MediA Format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Interactivity support for OMAF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3 - Versatile Video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Versatile Video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4 - Immersive Audio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Immersive Audio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CfP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CfP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CfP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5 - Video-based Point Cloud Compression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Video-based Point Cloud Compression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6 - Immersive Media Metrics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Immersive Media Metrics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7 - Immersive Media Metadata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Immersive Media Metadata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8 - Network-based Media Processing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Network-Based Media Processing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9 - Geometry-based Point Cloud Compression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Geometry-based Point Cloud Compression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MPEG-CICP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4 - Usage of video signal type code points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Usage of video signal type code points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PDTR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TR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1 - Transport and Storage of Genomic Information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Transport and Storage of Genomic Information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2 - Genomic Information Representation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Genomic Information Representation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3 - Genomic Information Metadata and Application Programming Interfaces (APIs)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API and Metadata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4 - Reference Software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Reference software and conformance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5 - Conformance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Conformance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MPEG-IOMT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1 - IoMT Architecture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IoMT Architecture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MPEG-IOMT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2 - IoMT Discovery and Communication API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IoMT Discovery and Communication API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MPEG-IOMT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3 - IoMT Media Data Formats and API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IoMT Media Data Formats and API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MPEG-IOMT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4 - IoMT Reference Software and Conformance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IoMT Reference Software and Conformance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STD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WD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CD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FDIS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Explorations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7 - Immersive Video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Immersive video - 3DoF+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CfP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Explorations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7 - Immersive Video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Immersive video - 6DoF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2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Explorations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7 - Immersive Video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Compression of dense representation of light fields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3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Explorations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11 - Future Video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Future Video Coding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CfP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Explorations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28 - In advance signalling of MPEG containers content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In-advance signalling of MPEG containers content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Explorations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29 - Compressed representation of neural networks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Compressed Representation of Neural Networks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CfP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CfP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  <w:tr w:rsidR="00E5495E" w:rsidRPr="00E5495E" w:rsidTr="00E5495E">
        <w:tc>
          <w:tcPr>
            <w:tcW w:w="0" w:type="auto"/>
          </w:tcPr>
          <w:p w:rsidR="00E5495E" w:rsidRPr="00E5495E" w:rsidRDefault="00E5495E" w:rsidP="001B6BFE">
            <w:r w:rsidRPr="00E5495E">
              <w:t>Explorations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31 - Low Complexity Video Coding Enhancements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Capability Extension of Existing Video Codec</w:t>
            </w:r>
          </w:p>
        </w:tc>
        <w:tc>
          <w:tcPr>
            <w:tcW w:w="0" w:type="auto"/>
          </w:tcPr>
          <w:p w:rsidR="00E5495E" w:rsidRPr="00E5495E" w:rsidRDefault="00E5495E" w:rsidP="001B6BFE"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31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EXP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  <w:r w:rsidRPr="00E5495E">
              <w:t>CfP</w:t>
            </w: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  <w:tc>
          <w:tcPr>
            <w:tcW w:w="0" w:type="auto"/>
          </w:tcPr>
          <w:p w:rsidR="00E5495E" w:rsidRPr="00E5495E" w:rsidRDefault="00E5495E" w:rsidP="00E5495E">
            <w:pPr>
              <w:jc w:val="center"/>
            </w:pPr>
          </w:p>
        </w:tc>
      </w:tr>
    </w:tbl>
    <w:p w:rsidR="00857533" w:rsidRDefault="00857533" w:rsidP="00857533"/>
    <w:p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E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5495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630CA"/>
  <w15:chartTrackingRefBased/>
  <w15:docId w15:val="{12D7DCFA-0F9E-460E-AD9C-496EDDB4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FFFC-EC6C-472F-A8DE-25D34247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9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</cp:revision>
  <dcterms:created xsi:type="dcterms:W3CDTF">2018-10-17T10:23:00Z</dcterms:created>
  <dcterms:modified xsi:type="dcterms:W3CDTF">2018-10-17T10:32:00Z</dcterms:modified>
</cp:coreProperties>
</file>