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6D770" w14:textId="77777777" w:rsidR="00857533" w:rsidRPr="00433DF9" w:rsidRDefault="00B10AB5" w:rsidP="00857533">
      <w:pPr>
        <w:jc w:val="center"/>
        <w:rPr>
          <w:b/>
          <w:sz w:val="28"/>
          <w:lang w:val="fr-CH"/>
        </w:rPr>
      </w:pPr>
      <w:r w:rsidRPr="00433DF9">
        <w:rPr>
          <w:b/>
          <w:sz w:val="28"/>
          <w:lang w:val="fr-CH"/>
        </w:rPr>
        <w:t>INTERNATIONAL ORGANISATION FOR STANDARDISATION</w:t>
      </w:r>
    </w:p>
    <w:p w14:paraId="6FD3A47F" w14:textId="77777777" w:rsidR="00857533" w:rsidRPr="00433DF9" w:rsidRDefault="00B10AB5" w:rsidP="00857533">
      <w:pPr>
        <w:jc w:val="center"/>
        <w:rPr>
          <w:b/>
          <w:sz w:val="28"/>
          <w:lang w:val="fr-CH"/>
        </w:rPr>
      </w:pPr>
      <w:r w:rsidRPr="00433DF9">
        <w:rPr>
          <w:b/>
          <w:sz w:val="28"/>
          <w:lang w:val="fr-CH"/>
        </w:rPr>
        <w:t>ORGANISATION INTERNATIONALE DE NORMALISATION</w:t>
      </w:r>
    </w:p>
    <w:p w14:paraId="255AA0EA" w14:textId="77777777" w:rsidR="00857533" w:rsidRPr="00433DF9" w:rsidRDefault="00B10AB5" w:rsidP="00857533">
      <w:pPr>
        <w:jc w:val="center"/>
        <w:rPr>
          <w:b/>
          <w:sz w:val="28"/>
          <w:lang w:val="fr-CH"/>
        </w:rPr>
      </w:pPr>
      <w:r w:rsidRPr="00433DF9">
        <w:rPr>
          <w:b/>
          <w:sz w:val="28"/>
          <w:lang w:val="fr-CH"/>
        </w:rPr>
        <w:t>ISO/IEC JTC 1/SC 29/WG 11</w:t>
      </w:r>
    </w:p>
    <w:p w14:paraId="20DBF678" w14:textId="77777777" w:rsidR="009D0066" w:rsidRPr="00C44122" w:rsidRDefault="00857533" w:rsidP="00857533">
      <w:pPr>
        <w:jc w:val="center"/>
        <w:rPr>
          <w:b/>
          <w:sz w:val="28"/>
          <w:lang w:val="en-US"/>
        </w:rPr>
      </w:pPr>
      <w:r w:rsidRPr="00C44122">
        <w:rPr>
          <w:b/>
          <w:sz w:val="28"/>
          <w:lang w:val="en-US"/>
        </w:rPr>
        <w:t>CODING OF MOVING PICTURES AND AUDIO</w:t>
      </w:r>
    </w:p>
    <w:p w14:paraId="318B1BAF" w14:textId="77777777" w:rsidR="00857533" w:rsidRPr="00C44122" w:rsidRDefault="00857533" w:rsidP="00857533">
      <w:pPr>
        <w:rPr>
          <w:lang w:val="en-US"/>
        </w:rPr>
      </w:pPr>
    </w:p>
    <w:p w14:paraId="40B1C3FE" w14:textId="77777777" w:rsidR="00AC548D" w:rsidRPr="00C44122" w:rsidRDefault="00AC548D" w:rsidP="00857533">
      <w:pPr>
        <w:rPr>
          <w:lang w:val="en-US"/>
        </w:rPr>
      </w:pPr>
    </w:p>
    <w:p w14:paraId="7EB8C2AF" w14:textId="423556CF" w:rsidR="00857533" w:rsidRPr="00C44122" w:rsidRDefault="00857533" w:rsidP="00857533">
      <w:pPr>
        <w:jc w:val="right"/>
        <w:rPr>
          <w:b/>
          <w:sz w:val="28"/>
          <w:lang w:val="en-US"/>
        </w:rPr>
      </w:pPr>
      <w:r w:rsidRPr="00C44122">
        <w:rPr>
          <w:b/>
          <w:sz w:val="28"/>
          <w:lang w:val="en-US"/>
        </w:rPr>
        <w:t xml:space="preserve">ISO/IEC JTC 1/SC 29/WG 11 </w:t>
      </w:r>
      <w:r w:rsidR="00F122AC" w:rsidRPr="00C44122">
        <w:rPr>
          <w:b/>
          <w:sz w:val="44"/>
          <w:lang w:val="en-US"/>
        </w:rPr>
        <w:t>N</w:t>
      </w:r>
      <w:r w:rsidR="00BF4F4D" w:rsidRPr="00C44122">
        <w:rPr>
          <w:b/>
          <w:sz w:val="44"/>
          <w:lang w:val="en-US"/>
        </w:rPr>
        <w:t>1</w:t>
      </w:r>
      <w:r w:rsidR="005864ED">
        <w:rPr>
          <w:b/>
          <w:sz w:val="44"/>
          <w:lang w:val="en-US"/>
        </w:rPr>
        <w:t>6147</w:t>
      </w:r>
    </w:p>
    <w:p w14:paraId="1111A47F" w14:textId="77777777" w:rsidR="00857533" w:rsidRPr="00C44122" w:rsidRDefault="00780913" w:rsidP="00857533">
      <w:pPr>
        <w:jc w:val="right"/>
        <w:rPr>
          <w:b/>
          <w:sz w:val="28"/>
          <w:lang w:val="en-US"/>
        </w:rPr>
      </w:pPr>
      <w:r w:rsidRPr="00C44122">
        <w:rPr>
          <w:b/>
          <w:sz w:val="28"/>
          <w:lang w:val="en-US"/>
        </w:rPr>
        <w:t>San Diego</w:t>
      </w:r>
      <w:r w:rsidR="00857533" w:rsidRPr="00C44122">
        <w:rPr>
          <w:b/>
          <w:sz w:val="28"/>
          <w:lang w:val="en-US"/>
        </w:rPr>
        <w:t xml:space="preserve">, </w:t>
      </w:r>
      <w:r w:rsidRPr="00C44122">
        <w:rPr>
          <w:b/>
          <w:sz w:val="28"/>
          <w:lang w:val="en-US"/>
        </w:rPr>
        <w:t>USA</w:t>
      </w:r>
      <w:r w:rsidR="00857533" w:rsidRPr="00C44122">
        <w:rPr>
          <w:b/>
          <w:sz w:val="28"/>
          <w:lang w:val="en-US"/>
        </w:rPr>
        <w:t xml:space="preserve"> – </w:t>
      </w:r>
      <w:r w:rsidRPr="00C44122">
        <w:rPr>
          <w:b/>
          <w:sz w:val="28"/>
          <w:lang w:val="en-US"/>
        </w:rPr>
        <w:t>February</w:t>
      </w:r>
      <w:r w:rsidR="00250AB3" w:rsidRPr="00C44122">
        <w:rPr>
          <w:b/>
          <w:sz w:val="28"/>
          <w:lang w:val="en-US"/>
        </w:rPr>
        <w:t xml:space="preserve"> </w:t>
      </w:r>
      <w:r w:rsidR="003044F2" w:rsidRPr="00C44122">
        <w:rPr>
          <w:b/>
          <w:sz w:val="28"/>
          <w:lang w:val="en-US"/>
        </w:rPr>
        <w:t>201</w:t>
      </w:r>
      <w:r w:rsidRPr="00C44122">
        <w:rPr>
          <w:b/>
          <w:sz w:val="28"/>
          <w:lang w:val="en-US"/>
        </w:rPr>
        <w:t>6</w:t>
      </w:r>
    </w:p>
    <w:p w14:paraId="6CE0456B" w14:textId="77777777" w:rsidR="003A0B84" w:rsidRPr="00C44122" w:rsidRDefault="003A0B84" w:rsidP="00857533">
      <w:pPr>
        <w:jc w:val="right"/>
        <w:rPr>
          <w:b/>
          <w:sz w:val="28"/>
          <w:lang w:val="en-US"/>
        </w:rPr>
      </w:pPr>
    </w:p>
    <w:p w14:paraId="72D41D4B" w14:textId="77777777" w:rsidR="00857533" w:rsidRPr="00C44122" w:rsidRDefault="00857533" w:rsidP="00857533">
      <w:pPr>
        <w:rPr>
          <w:lang w:val="en-US"/>
        </w:rPr>
      </w:pPr>
    </w:p>
    <w:p w14:paraId="4E74B72A" w14:textId="77777777" w:rsidR="00AC548D" w:rsidRPr="00C44122" w:rsidRDefault="00AC548D" w:rsidP="00857533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8568"/>
      </w:tblGrid>
      <w:tr w:rsidR="00857533" w:rsidRPr="00C44122" w14:paraId="5BBE7485" w14:textId="77777777" w:rsidTr="006676B5">
        <w:tc>
          <w:tcPr>
            <w:tcW w:w="0" w:type="auto"/>
            <w:shd w:val="clear" w:color="auto" w:fill="auto"/>
          </w:tcPr>
          <w:p w14:paraId="6EA395E7" w14:textId="77777777" w:rsidR="00857533" w:rsidRPr="00C44122" w:rsidRDefault="00857533" w:rsidP="00406BFA">
            <w:pPr>
              <w:rPr>
                <w:b/>
                <w:lang w:val="en-US"/>
              </w:rPr>
            </w:pPr>
            <w:r w:rsidRPr="00C44122">
              <w:rPr>
                <w:b/>
                <w:lang w:val="en-US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4BAC258" w14:textId="77777777" w:rsidR="00857533" w:rsidRPr="00C44122" w:rsidRDefault="008F5CEC" w:rsidP="00F122AC">
            <w:pPr>
              <w:rPr>
                <w:b/>
                <w:lang w:val="en-US"/>
              </w:rPr>
            </w:pPr>
            <w:r w:rsidRPr="00C44122">
              <w:rPr>
                <w:b/>
                <w:lang w:val="en-US"/>
              </w:rPr>
              <w:t xml:space="preserve">Requirements </w:t>
            </w:r>
          </w:p>
        </w:tc>
      </w:tr>
      <w:tr w:rsidR="006676B5" w:rsidRPr="00C44122" w14:paraId="2EAC9D48" w14:textId="77777777" w:rsidTr="006676B5">
        <w:tc>
          <w:tcPr>
            <w:tcW w:w="0" w:type="auto"/>
            <w:shd w:val="clear" w:color="auto" w:fill="auto"/>
          </w:tcPr>
          <w:p w14:paraId="34890841" w14:textId="77777777" w:rsidR="006676B5" w:rsidRPr="00C44122" w:rsidRDefault="006676B5" w:rsidP="00406BFA">
            <w:pPr>
              <w:rPr>
                <w:b/>
                <w:lang w:val="en-US"/>
              </w:rPr>
            </w:pPr>
            <w:r w:rsidRPr="00C44122">
              <w:rPr>
                <w:b/>
                <w:lang w:val="en-US"/>
              </w:rPr>
              <w:t>Status:</w:t>
            </w:r>
          </w:p>
        </w:tc>
        <w:tc>
          <w:tcPr>
            <w:tcW w:w="0" w:type="auto"/>
            <w:shd w:val="clear" w:color="auto" w:fill="auto"/>
          </w:tcPr>
          <w:p w14:paraId="080E7BB6" w14:textId="77777777" w:rsidR="006676B5" w:rsidRPr="00C44122" w:rsidRDefault="006676B5" w:rsidP="00F122AC">
            <w:pPr>
              <w:rPr>
                <w:b/>
                <w:lang w:val="en-US"/>
              </w:rPr>
            </w:pPr>
            <w:r w:rsidRPr="00C44122">
              <w:rPr>
                <w:b/>
                <w:lang w:val="en-US"/>
              </w:rPr>
              <w:t>Draft</w:t>
            </w:r>
          </w:p>
        </w:tc>
      </w:tr>
      <w:tr w:rsidR="00857533" w:rsidRPr="00C44122" w14:paraId="4687F7F3" w14:textId="77777777" w:rsidTr="006676B5">
        <w:tc>
          <w:tcPr>
            <w:tcW w:w="0" w:type="auto"/>
            <w:shd w:val="clear" w:color="auto" w:fill="auto"/>
          </w:tcPr>
          <w:p w14:paraId="2F1A946C" w14:textId="77777777" w:rsidR="00857533" w:rsidRPr="00C44122" w:rsidRDefault="00857533" w:rsidP="00406BFA">
            <w:pPr>
              <w:rPr>
                <w:b/>
                <w:lang w:val="en-US"/>
              </w:rPr>
            </w:pPr>
            <w:r w:rsidRPr="00C44122">
              <w:rPr>
                <w:b/>
                <w:lang w:val="en-US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29BCAEBB" w14:textId="5F713856" w:rsidR="00857533" w:rsidRPr="00C44122" w:rsidRDefault="00147B9C" w:rsidP="00C44122">
            <w:pPr>
              <w:rPr>
                <w:b/>
                <w:lang w:val="en-US"/>
              </w:rPr>
            </w:pPr>
            <w:r w:rsidRPr="00C43934">
              <w:rPr>
                <w:b/>
              </w:rPr>
              <w:t xml:space="preserve">Results of the Evaluation of the </w:t>
            </w:r>
            <w:proofErr w:type="spellStart"/>
            <w:r w:rsidRPr="00C43934">
              <w:rPr>
                <w:b/>
              </w:rPr>
              <w:t>CfE</w:t>
            </w:r>
            <w:proofErr w:type="spellEnd"/>
            <w:r w:rsidRPr="00C43934">
              <w:rPr>
                <w:b/>
              </w:rPr>
              <w:t xml:space="preserve"> on Genomic Information Compression and Storage</w:t>
            </w:r>
            <w:bookmarkStart w:id="0" w:name="_GoBack"/>
            <w:bookmarkEnd w:id="0"/>
          </w:p>
        </w:tc>
      </w:tr>
    </w:tbl>
    <w:p w14:paraId="69401212" w14:textId="77777777" w:rsidR="00857533" w:rsidRPr="00C44122" w:rsidRDefault="00857533" w:rsidP="00857533">
      <w:pPr>
        <w:rPr>
          <w:lang w:val="en-US"/>
        </w:rPr>
      </w:pPr>
    </w:p>
    <w:p w14:paraId="43C0C994" w14:textId="77777777" w:rsidR="001F2E6A" w:rsidRDefault="00B10AB5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C44122">
        <w:rPr>
          <w:lang w:val="en-US"/>
        </w:rPr>
        <w:fldChar w:fldCharType="begin"/>
      </w:r>
      <w:r w:rsidR="00204FA4" w:rsidRPr="00C44122">
        <w:rPr>
          <w:lang w:val="en-US"/>
        </w:rPr>
        <w:instrText xml:space="preserve"> TOC \o "1-3" \h \z \u </w:instrText>
      </w:r>
      <w:r w:rsidRPr="00C44122">
        <w:rPr>
          <w:lang w:val="en-US"/>
        </w:rPr>
        <w:fldChar w:fldCharType="separate"/>
      </w:r>
      <w:hyperlink w:anchor="_Toc444306455" w:history="1">
        <w:r w:rsidR="001F2E6A" w:rsidRPr="00754170">
          <w:rPr>
            <w:rStyle w:val="Hyperlink"/>
            <w:noProof/>
            <w:lang w:val="en-US"/>
          </w:rPr>
          <w:t>1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Introduction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_Toc444306455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2</w:t>
        </w:r>
        <w:r w:rsidR="001F2E6A">
          <w:rPr>
            <w:noProof/>
            <w:webHidden/>
          </w:rPr>
          <w:fldChar w:fldCharType="end"/>
        </w:r>
      </w:hyperlink>
    </w:p>
    <w:p w14:paraId="560200D7" w14:textId="77777777" w:rsidR="001F2E6A" w:rsidRDefault="00D06FB1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56" w:history="1">
        <w:r w:rsidR="001F2E6A" w:rsidRPr="00754170">
          <w:rPr>
            <w:rStyle w:val="Hyperlink"/>
            <w:noProof/>
            <w:lang w:val="en-US"/>
          </w:rPr>
          <w:t>2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Raw data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_Toc444306456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2</w:t>
        </w:r>
        <w:r w:rsidR="001F2E6A">
          <w:rPr>
            <w:noProof/>
            <w:webHidden/>
          </w:rPr>
          <w:fldChar w:fldCharType="end"/>
        </w:r>
      </w:hyperlink>
    </w:p>
    <w:p w14:paraId="25E71C49" w14:textId="77777777" w:rsidR="001F2E6A" w:rsidRDefault="00D06FB1">
      <w:pPr>
        <w:pStyle w:val="TOC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57" w:history="1">
        <w:r w:rsidR="001F2E6A" w:rsidRPr="00754170">
          <w:rPr>
            <w:rStyle w:val="Hyperlink"/>
            <w:noProof/>
            <w:lang w:val="en-US"/>
          </w:rPr>
          <w:t>2.1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Low coverage human sample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_Toc444306457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2</w:t>
        </w:r>
        <w:r w:rsidR="001F2E6A">
          <w:rPr>
            <w:noProof/>
            <w:webHidden/>
          </w:rPr>
          <w:fldChar w:fldCharType="end"/>
        </w:r>
      </w:hyperlink>
    </w:p>
    <w:p w14:paraId="2E34F0BE" w14:textId="77777777" w:rsidR="001F2E6A" w:rsidRDefault="00D06FB1">
      <w:pPr>
        <w:pStyle w:val="TOC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58" w:history="1">
        <w:r w:rsidR="001F2E6A" w:rsidRPr="00754170">
          <w:rPr>
            <w:rStyle w:val="Hyperlink"/>
            <w:noProof/>
            <w:lang w:val="en-US"/>
          </w:rPr>
          <w:t>2.2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High coverage human sample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_Toc444306458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4</w:t>
        </w:r>
        <w:r w:rsidR="001F2E6A">
          <w:rPr>
            <w:noProof/>
            <w:webHidden/>
          </w:rPr>
          <w:fldChar w:fldCharType="end"/>
        </w:r>
      </w:hyperlink>
    </w:p>
    <w:p w14:paraId="400462CB" w14:textId="77777777" w:rsidR="001F2E6A" w:rsidRDefault="00D06FB1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59" w:history="1">
        <w:r w:rsidR="001F2E6A" w:rsidRPr="00754170">
          <w:rPr>
            <w:rStyle w:val="Hyperlink"/>
            <w:noProof/>
            <w:lang w:val="en-US"/>
          </w:rPr>
          <w:t>3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Aligned data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_Toc444306459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5</w:t>
        </w:r>
        <w:r w:rsidR="001F2E6A">
          <w:rPr>
            <w:noProof/>
            <w:webHidden/>
          </w:rPr>
          <w:fldChar w:fldCharType="end"/>
        </w:r>
      </w:hyperlink>
    </w:p>
    <w:p w14:paraId="034EE150" w14:textId="77777777" w:rsidR="001F2E6A" w:rsidRDefault="00D06FB1">
      <w:pPr>
        <w:pStyle w:val="TOC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60" w:history="1">
        <w:r w:rsidR="001F2E6A" w:rsidRPr="00754170">
          <w:rPr>
            <w:rStyle w:val="Hyperlink"/>
            <w:noProof/>
            <w:lang w:val="en-US"/>
          </w:rPr>
          <w:t>3.1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High coverage human sample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_Toc444306460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5</w:t>
        </w:r>
        <w:r w:rsidR="001F2E6A">
          <w:rPr>
            <w:noProof/>
            <w:webHidden/>
          </w:rPr>
          <w:fldChar w:fldCharType="end"/>
        </w:r>
      </w:hyperlink>
    </w:p>
    <w:p w14:paraId="04266C32" w14:textId="77777777" w:rsidR="001F2E6A" w:rsidRDefault="00D06FB1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61" w:history="1">
        <w:r w:rsidR="001F2E6A" w:rsidRPr="00754170">
          <w:rPr>
            <w:rStyle w:val="Hyperlink"/>
            <w:noProof/>
            <w:lang w:val="en-US"/>
          </w:rPr>
          <w:t>4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Computational complexity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_Toc444306461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6</w:t>
        </w:r>
        <w:r w:rsidR="001F2E6A">
          <w:rPr>
            <w:noProof/>
            <w:webHidden/>
          </w:rPr>
          <w:fldChar w:fldCharType="end"/>
        </w:r>
      </w:hyperlink>
    </w:p>
    <w:p w14:paraId="51115B22" w14:textId="77777777" w:rsidR="001F2E6A" w:rsidRDefault="00D06FB1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62" w:history="1">
        <w:r w:rsidR="001F2E6A" w:rsidRPr="00754170">
          <w:rPr>
            <w:rStyle w:val="Hyperlink"/>
            <w:noProof/>
            <w:lang w:val="en-US"/>
          </w:rPr>
          <w:t>5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Conclusions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_Toc444306462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6</w:t>
        </w:r>
        <w:r w:rsidR="001F2E6A">
          <w:rPr>
            <w:noProof/>
            <w:webHidden/>
          </w:rPr>
          <w:fldChar w:fldCharType="end"/>
        </w:r>
      </w:hyperlink>
    </w:p>
    <w:p w14:paraId="21E21530" w14:textId="77777777" w:rsidR="001F2E6A" w:rsidRDefault="00D06FB1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63" w:history="1">
        <w:r w:rsidR="001F2E6A" w:rsidRPr="00754170">
          <w:rPr>
            <w:rStyle w:val="Hyperlink"/>
            <w:noProof/>
            <w:lang w:val="en-US"/>
          </w:rPr>
          <w:t>6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  <w:lang w:val="en-US"/>
          </w:rPr>
          <w:t>Acknowledgements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_Toc444306463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7</w:t>
        </w:r>
        <w:r w:rsidR="001F2E6A">
          <w:rPr>
            <w:noProof/>
            <w:webHidden/>
          </w:rPr>
          <w:fldChar w:fldCharType="end"/>
        </w:r>
      </w:hyperlink>
    </w:p>
    <w:p w14:paraId="7953A7ED" w14:textId="77777777" w:rsidR="001F2E6A" w:rsidRDefault="00D06FB1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444306464" w:history="1">
        <w:r w:rsidR="001F2E6A" w:rsidRPr="00754170">
          <w:rPr>
            <w:rStyle w:val="Hyperlink"/>
            <w:noProof/>
          </w:rPr>
          <w:t>7</w:t>
        </w:r>
        <w:r w:rsidR="001F2E6A">
          <w:rPr>
            <w:rFonts w:asciiTheme="minorHAnsi" w:eastAsiaTheme="minorEastAsia" w:hAnsiTheme="minorHAnsi" w:cstheme="minorBidi"/>
            <w:noProof/>
            <w:sz w:val="22"/>
            <w:szCs w:val="22"/>
            <w:lang w:val="fr-CH" w:eastAsia="fr-CH"/>
          </w:rPr>
          <w:tab/>
        </w:r>
        <w:r w:rsidR="001F2E6A" w:rsidRPr="00754170">
          <w:rPr>
            <w:rStyle w:val="Hyperlink"/>
            <w:noProof/>
          </w:rPr>
          <w:t>References</w:t>
        </w:r>
        <w:r w:rsidR="001F2E6A">
          <w:rPr>
            <w:noProof/>
            <w:webHidden/>
          </w:rPr>
          <w:tab/>
        </w:r>
        <w:r w:rsidR="001F2E6A">
          <w:rPr>
            <w:noProof/>
            <w:webHidden/>
          </w:rPr>
          <w:fldChar w:fldCharType="begin"/>
        </w:r>
        <w:r w:rsidR="001F2E6A">
          <w:rPr>
            <w:noProof/>
            <w:webHidden/>
          </w:rPr>
          <w:instrText xml:space="preserve"> PAGEREF _Toc444306464 \h </w:instrText>
        </w:r>
        <w:r w:rsidR="001F2E6A">
          <w:rPr>
            <w:noProof/>
            <w:webHidden/>
          </w:rPr>
        </w:r>
        <w:r w:rsidR="001F2E6A">
          <w:rPr>
            <w:noProof/>
            <w:webHidden/>
          </w:rPr>
          <w:fldChar w:fldCharType="separate"/>
        </w:r>
        <w:r w:rsidR="001F2E6A">
          <w:rPr>
            <w:noProof/>
            <w:webHidden/>
          </w:rPr>
          <w:t>7</w:t>
        </w:r>
        <w:r w:rsidR="001F2E6A">
          <w:rPr>
            <w:noProof/>
            <w:webHidden/>
          </w:rPr>
          <w:fldChar w:fldCharType="end"/>
        </w:r>
      </w:hyperlink>
    </w:p>
    <w:p w14:paraId="2165A7C5" w14:textId="14718DF5" w:rsidR="007E32AF" w:rsidRDefault="00B10AB5">
      <w:pPr>
        <w:rPr>
          <w:b/>
          <w:bCs/>
          <w:noProof/>
          <w:lang w:val="en-US"/>
        </w:rPr>
      </w:pPr>
      <w:r w:rsidRPr="00C44122">
        <w:rPr>
          <w:b/>
          <w:bCs/>
          <w:noProof/>
          <w:lang w:val="en-US"/>
        </w:rPr>
        <w:fldChar w:fldCharType="end"/>
      </w:r>
    </w:p>
    <w:p w14:paraId="4DEF251A" w14:textId="2998EA39" w:rsidR="005567F4" w:rsidRPr="00695562" w:rsidRDefault="007E32AF" w:rsidP="00D443A8">
      <w:pPr>
        <w:pStyle w:val="Heading1"/>
        <w:rPr>
          <w:lang w:val="en-US"/>
        </w:rPr>
      </w:pPr>
      <w:r w:rsidRPr="00695562">
        <w:rPr>
          <w:noProof/>
          <w:lang w:val="en-US"/>
        </w:rPr>
        <w:br w:type="page"/>
      </w:r>
      <w:bookmarkStart w:id="1" w:name="_Toc444306455"/>
      <w:r w:rsidR="00695562">
        <w:rPr>
          <w:lang w:val="en-US"/>
        </w:rPr>
        <w:lastRenderedPageBreak/>
        <w:t>Introduction</w:t>
      </w:r>
      <w:bookmarkEnd w:id="1"/>
    </w:p>
    <w:p w14:paraId="547019CA" w14:textId="1ED49D34" w:rsidR="000B676D" w:rsidRDefault="000B676D" w:rsidP="000B676D">
      <w:pPr>
        <w:jc w:val="both"/>
        <w:rPr>
          <w:lang w:val="en-US"/>
        </w:rPr>
      </w:pPr>
      <w:r>
        <w:rPr>
          <w:lang w:val="en-US"/>
        </w:rPr>
        <w:t xml:space="preserve">The purpose of the </w:t>
      </w:r>
      <w:r w:rsidR="00981C36">
        <w:rPr>
          <w:lang w:val="en-US"/>
        </w:rPr>
        <w:t xml:space="preserve">issued </w:t>
      </w:r>
      <w:r>
        <w:rPr>
          <w:lang w:val="en-US"/>
        </w:rPr>
        <w:t>Call for Evidence (</w:t>
      </w:r>
      <w:proofErr w:type="spellStart"/>
      <w:r>
        <w:rPr>
          <w:lang w:val="en-US"/>
        </w:rPr>
        <w:t>CfE</w:t>
      </w:r>
      <w:proofErr w:type="spellEnd"/>
      <w:r>
        <w:rPr>
          <w:lang w:val="en-US"/>
        </w:rPr>
        <w:t>) on genome compression</w:t>
      </w:r>
      <w:r w:rsidR="00981C36">
        <w:rPr>
          <w:lang w:val="en-US"/>
        </w:rPr>
        <w:t xml:space="preserve"> </w:t>
      </w:r>
      <w:sdt>
        <w:sdtPr>
          <w:rPr>
            <w:lang w:val="en-US"/>
          </w:rPr>
          <w:id w:val="-1808001446"/>
          <w:citation/>
        </w:sdtPr>
        <w:sdtEndPr/>
        <w:sdtContent>
          <w:r w:rsidR="00981C36">
            <w:rPr>
              <w:lang w:val="en-US"/>
            </w:rPr>
            <w:fldChar w:fldCharType="begin"/>
          </w:r>
          <w:r w:rsidR="00981C36">
            <w:instrText xml:space="preserve"> CITATION MPE153 \l 2057 </w:instrText>
          </w:r>
          <w:r w:rsidR="00981C36">
            <w:rPr>
              <w:lang w:val="en-US"/>
            </w:rPr>
            <w:fldChar w:fldCharType="separate"/>
          </w:r>
          <w:r w:rsidR="001F2E6A" w:rsidRPr="001F2E6A">
            <w:rPr>
              <w:noProof/>
            </w:rPr>
            <w:t>[1]</w:t>
          </w:r>
          <w:r w:rsidR="00981C36">
            <w:rPr>
              <w:lang w:val="en-US"/>
            </w:rPr>
            <w:fldChar w:fldCharType="end"/>
          </w:r>
        </w:sdtContent>
      </w:sdt>
      <w:r>
        <w:rPr>
          <w:lang w:val="en-US"/>
        </w:rPr>
        <w:t xml:space="preserve"> was to assess whether new technologies can achieve better performance in terms of compression efficiency compared with currently used file formats such as </w:t>
      </w:r>
      <w:proofErr w:type="spellStart"/>
      <w:r>
        <w:rPr>
          <w:lang w:val="en-US"/>
        </w:rPr>
        <w:t>gzipped</w:t>
      </w:r>
      <w:proofErr w:type="spellEnd"/>
      <w:r>
        <w:rPr>
          <w:lang w:val="en-US"/>
        </w:rPr>
        <w:t xml:space="preserve"> FASTQ (used for raw data) and BAM (used for aligned data). A</w:t>
      </w:r>
      <w:r w:rsidR="009210EA">
        <w:rPr>
          <w:lang w:val="en-US"/>
        </w:rPr>
        <w:t>dditional</w:t>
      </w:r>
      <w:r>
        <w:rPr>
          <w:lang w:val="en-US"/>
        </w:rPr>
        <w:t xml:space="preserve"> functionalities (e.g. non-sequential access, lossy compression efficiency, etc.) are provided by available technologies.</w:t>
      </w:r>
    </w:p>
    <w:p w14:paraId="6B9A2DDA" w14:textId="50FC1ABE" w:rsidR="000B676D" w:rsidRPr="00E35D5B" w:rsidRDefault="0089545F" w:rsidP="000B676D">
      <w:pPr>
        <w:jc w:val="both"/>
        <w:rPr>
          <w:lang w:val="en-US"/>
        </w:rPr>
      </w:pPr>
      <w:r>
        <w:rPr>
          <w:lang w:val="en-US"/>
        </w:rPr>
        <w:t xml:space="preserve">There </w:t>
      </w:r>
      <w:r w:rsidR="000B676D">
        <w:rPr>
          <w:lang w:val="en-US"/>
        </w:rPr>
        <w:t>were t</w:t>
      </w:r>
      <w:r>
        <w:rPr>
          <w:lang w:val="en-US"/>
        </w:rPr>
        <w:t>wo</w:t>
      </w:r>
      <w:r w:rsidR="000B676D">
        <w:rPr>
          <w:lang w:val="en-US"/>
        </w:rPr>
        <w:t xml:space="preserve"> prerequisites for the evaluation of answers to the </w:t>
      </w:r>
      <w:proofErr w:type="spellStart"/>
      <w:r w:rsidR="000B676D">
        <w:rPr>
          <w:lang w:val="en-US"/>
        </w:rPr>
        <w:t>CfE</w:t>
      </w:r>
      <w:proofErr w:type="spellEnd"/>
      <w:r>
        <w:rPr>
          <w:lang w:val="en-US"/>
        </w:rPr>
        <w:t>:</w:t>
      </w:r>
      <w:r w:rsidR="000B676D">
        <w:rPr>
          <w:lang w:val="en-US"/>
        </w:rPr>
        <w:t xml:space="preserve"> the proposals/tools considered </w:t>
      </w:r>
      <w:r w:rsidR="00D50586">
        <w:rPr>
          <w:lang w:val="en-US"/>
        </w:rPr>
        <w:t xml:space="preserve">had to </w:t>
      </w:r>
      <w:r w:rsidR="000B676D">
        <w:rPr>
          <w:lang w:val="en-US"/>
        </w:rPr>
        <w:t xml:space="preserve">be under active </w:t>
      </w:r>
      <w:r w:rsidR="000B676D" w:rsidRPr="00E35D5B">
        <w:rPr>
          <w:lang w:val="en-US"/>
        </w:rPr>
        <w:t xml:space="preserve">development and maintenance, and they </w:t>
      </w:r>
      <w:r w:rsidR="00D50586" w:rsidRPr="00E35D5B">
        <w:rPr>
          <w:lang w:val="en-US"/>
        </w:rPr>
        <w:t xml:space="preserve">had to </w:t>
      </w:r>
      <w:r w:rsidR="000B676D" w:rsidRPr="00E35D5B">
        <w:rPr>
          <w:lang w:val="en-US"/>
        </w:rPr>
        <w:t xml:space="preserve">be reliable. </w:t>
      </w:r>
    </w:p>
    <w:p w14:paraId="14DDEB60" w14:textId="77777777" w:rsidR="000B676D" w:rsidRPr="00E35D5B" w:rsidRDefault="000B676D" w:rsidP="000B676D">
      <w:pPr>
        <w:jc w:val="both"/>
        <w:rPr>
          <w:lang w:val="en-US"/>
        </w:rPr>
      </w:pPr>
      <w:r w:rsidRPr="00E35D5B">
        <w:rPr>
          <w:lang w:val="en-US"/>
        </w:rPr>
        <w:t xml:space="preserve">The </w:t>
      </w:r>
      <w:proofErr w:type="spellStart"/>
      <w:r w:rsidRPr="00E35D5B">
        <w:rPr>
          <w:lang w:val="en-US"/>
        </w:rPr>
        <w:t>CfE</w:t>
      </w:r>
      <w:proofErr w:type="spellEnd"/>
      <w:r w:rsidRPr="00E35D5B">
        <w:rPr>
          <w:lang w:val="en-US"/>
        </w:rPr>
        <w:t xml:space="preserve"> defined a number of criteria for the evaluation of proposals:</w:t>
      </w:r>
    </w:p>
    <w:p w14:paraId="209B7A00" w14:textId="77777777" w:rsidR="000B676D" w:rsidRPr="00E35D5B" w:rsidRDefault="000B676D" w:rsidP="00124C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Compression factor</w:t>
      </w:r>
    </w:p>
    <w:p w14:paraId="07A4075A" w14:textId="525B67EB" w:rsidR="000B676D" w:rsidRPr="00E35D5B" w:rsidRDefault="000B676D" w:rsidP="00124C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 xml:space="preserve">Separate assessment of performance for each class of data in the compressed </w:t>
      </w:r>
      <w:proofErr w:type="spellStart"/>
      <w:r w:rsidRPr="00E35D5B">
        <w:rPr>
          <w:rFonts w:ascii="Times New Roman" w:hAnsi="Times New Roman"/>
          <w:sz w:val="24"/>
          <w:szCs w:val="24"/>
          <w:lang w:val="en-US"/>
        </w:rPr>
        <w:t>bitstream</w:t>
      </w:r>
      <w:proofErr w:type="spellEnd"/>
      <w:r w:rsidRPr="00E35D5B">
        <w:rPr>
          <w:rFonts w:ascii="Times New Roman" w:hAnsi="Times New Roman"/>
          <w:sz w:val="24"/>
          <w:szCs w:val="24"/>
          <w:lang w:val="en-US"/>
        </w:rPr>
        <w:t>:</w:t>
      </w:r>
    </w:p>
    <w:p w14:paraId="3ABAC7C2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Reads headers/identifiers</w:t>
      </w:r>
    </w:p>
    <w:p w14:paraId="2A8E42EE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Sequence reads</w:t>
      </w:r>
    </w:p>
    <w:p w14:paraId="2EAA7C0E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Quality scores</w:t>
      </w:r>
    </w:p>
    <w:p w14:paraId="5D65E586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Any other metadata (identified as “auxiliary data”)</w:t>
      </w:r>
    </w:p>
    <w:p w14:paraId="2923279D" w14:textId="77777777" w:rsidR="000B676D" w:rsidRPr="00E35D5B" w:rsidRDefault="000B676D" w:rsidP="00124C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“Reasonable” computational complexity</w:t>
      </w:r>
    </w:p>
    <w:p w14:paraId="44B37505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Encoding and decoding time, respectively</w:t>
      </w:r>
    </w:p>
    <w:p w14:paraId="339D297E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Peak and average memory usage</w:t>
      </w:r>
    </w:p>
    <w:p w14:paraId="2F4D9719" w14:textId="77777777" w:rsidR="000B676D" w:rsidRPr="00E35D5B" w:rsidRDefault="000B676D" w:rsidP="00124CE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Support of a minimal set of functionalities</w:t>
      </w:r>
    </w:p>
    <w:p w14:paraId="4EAA6921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Non-sequential access</w:t>
      </w:r>
    </w:p>
    <w:p w14:paraId="7A900907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More than 5 symbols (A, C, G, T, N) alphabets</w:t>
      </w:r>
    </w:p>
    <w:p w14:paraId="02B73CEB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Encoding of additional metadata (extensibility)</w:t>
      </w:r>
    </w:p>
    <w:p w14:paraId="4AA8C216" w14:textId="77777777" w:rsidR="000B676D" w:rsidRPr="00E35D5B" w:rsidRDefault="000B676D" w:rsidP="00124CEF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Lossy compression of metadata</w:t>
      </w:r>
    </w:p>
    <w:p w14:paraId="472AA11B" w14:textId="77777777" w:rsidR="000B676D" w:rsidRPr="00E35D5B" w:rsidRDefault="000B676D" w:rsidP="00124CEF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Quality scores</w:t>
      </w:r>
    </w:p>
    <w:p w14:paraId="497374DB" w14:textId="77777777" w:rsidR="000B676D" w:rsidRPr="00E35D5B" w:rsidRDefault="000B676D" w:rsidP="00124CEF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35D5B">
        <w:rPr>
          <w:rFonts w:ascii="Times New Roman" w:hAnsi="Times New Roman"/>
          <w:sz w:val="24"/>
          <w:szCs w:val="24"/>
          <w:lang w:val="en-US"/>
        </w:rPr>
        <w:t>Reads identifiers</w:t>
      </w:r>
    </w:p>
    <w:p w14:paraId="05199F7E" w14:textId="18BD611A" w:rsidR="005B0C06" w:rsidRDefault="000B676D" w:rsidP="00122C2E">
      <w:pPr>
        <w:jc w:val="both"/>
        <w:rPr>
          <w:lang w:val="en-US"/>
        </w:rPr>
      </w:pPr>
      <w:r w:rsidRPr="00D50586">
        <w:rPr>
          <w:lang w:val="en-US"/>
        </w:rPr>
        <w:t xml:space="preserve">In the scope of the </w:t>
      </w:r>
      <w:proofErr w:type="spellStart"/>
      <w:r w:rsidRPr="00D50586">
        <w:rPr>
          <w:lang w:val="en-US"/>
        </w:rPr>
        <w:t>CfE</w:t>
      </w:r>
      <w:proofErr w:type="spellEnd"/>
      <w:r w:rsidRPr="00D50586">
        <w:rPr>
          <w:lang w:val="en-US"/>
        </w:rPr>
        <w:t>, 22 tools have be</w:t>
      </w:r>
      <w:r>
        <w:rPr>
          <w:lang w:val="en-US"/>
        </w:rPr>
        <w:t xml:space="preserve">en evaluated. Eight tools have been developed by four providers who directly answered the </w:t>
      </w:r>
      <w:proofErr w:type="spellStart"/>
      <w:r>
        <w:rPr>
          <w:lang w:val="en-US"/>
        </w:rPr>
        <w:t>CfE</w:t>
      </w:r>
      <w:proofErr w:type="spellEnd"/>
      <w:r>
        <w:rPr>
          <w:lang w:val="en-US"/>
        </w:rPr>
        <w:t xml:space="preserve">. </w:t>
      </w:r>
    </w:p>
    <w:p w14:paraId="333DB760" w14:textId="77777777" w:rsidR="001F2E6A" w:rsidRDefault="001F2E6A">
      <w:pPr>
        <w:rPr>
          <w:rFonts w:cs="Arial"/>
          <w:b/>
          <w:bCs/>
          <w:kern w:val="32"/>
          <w:sz w:val="28"/>
          <w:szCs w:val="32"/>
          <w:lang w:val="en-US"/>
        </w:rPr>
      </w:pPr>
      <w:bookmarkStart w:id="2" w:name="_Toc444306456"/>
      <w:r>
        <w:rPr>
          <w:lang w:val="en-US"/>
        </w:rPr>
        <w:br w:type="page"/>
      </w:r>
    </w:p>
    <w:p w14:paraId="43086789" w14:textId="66C87502" w:rsidR="005B0C06" w:rsidRDefault="005B0C06" w:rsidP="005B0C06">
      <w:pPr>
        <w:pStyle w:val="Heading1"/>
        <w:rPr>
          <w:lang w:val="en-US"/>
        </w:rPr>
      </w:pPr>
      <w:r>
        <w:rPr>
          <w:lang w:val="en-US"/>
        </w:rPr>
        <w:lastRenderedPageBreak/>
        <w:t>Raw data</w:t>
      </w:r>
      <w:bookmarkEnd w:id="2"/>
    </w:p>
    <w:p w14:paraId="186578D2" w14:textId="1D58F70C" w:rsidR="005B0C06" w:rsidRPr="005B0C06" w:rsidRDefault="005B0C06" w:rsidP="005B0C06">
      <w:pPr>
        <w:pStyle w:val="Heading2"/>
        <w:rPr>
          <w:lang w:val="en-US"/>
        </w:rPr>
      </w:pPr>
      <w:bookmarkStart w:id="3" w:name="_Toc444306457"/>
      <w:r>
        <w:rPr>
          <w:lang w:val="en-US"/>
        </w:rPr>
        <w:t>Low coverage human sample</w:t>
      </w:r>
      <w:bookmarkEnd w:id="3"/>
    </w:p>
    <w:p w14:paraId="6D56CC8C" w14:textId="444961E8" w:rsidR="000B676D" w:rsidRDefault="000B676D" w:rsidP="00122C2E">
      <w:pPr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_Ref444159719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F2E6A">
        <w:t xml:space="preserve">Figure </w:t>
      </w:r>
      <w:r w:rsidR="001F2E6A"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 shows the compression results for unaligned data, for the human low coverage (</w:t>
      </w:r>
      <w:proofErr w:type="gramStart"/>
      <w:r>
        <w:rPr>
          <w:lang w:val="en-US"/>
        </w:rPr>
        <w:t>8x</w:t>
      </w:r>
      <w:proofErr w:type="gramEnd"/>
      <w:r>
        <w:rPr>
          <w:lang w:val="en-US"/>
        </w:rPr>
        <w:t>) sample ERR174310.</w:t>
      </w:r>
    </w:p>
    <w:p w14:paraId="56BD837B" w14:textId="77777777" w:rsidR="001A251E" w:rsidRDefault="001A251E" w:rsidP="00122C2E">
      <w:pPr>
        <w:jc w:val="both"/>
        <w:rPr>
          <w:lang w:val="en-US"/>
        </w:rPr>
      </w:pPr>
    </w:p>
    <w:p w14:paraId="4E9D7877" w14:textId="4CDB9AA7" w:rsidR="000B676D" w:rsidRDefault="00CF6DE6" w:rsidP="00122C2E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748C535" wp14:editId="3A1D5B32">
            <wp:extent cx="5993541" cy="31718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78" cy="319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212A4" w14:textId="0A925742" w:rsidR="000B676D" w:rsidRDefault="000B676D" w:rsidP="000B676D">
      <w:pPr>
        <w:keepNext/>
      </w:pPr>
    </w:p>
    <w:p w14:paraId="22C1FA1E" w14:textId="47F262B6" w:rsidR="000B676D" w:rsidRPr="003E732E" w:rsidRDefault="000B676D" w:rsidP="00122C2E">
      <w:pPr>
        <w:pStyle w:val="Caption"/>
        <w:jc w:val="center"/>
        <w:rPr>
          <w:lang w:val="en-US"/>
        </w:rPr>
      </w:pPr>
      <w:bookmarkStart w:id="4" w:name="_Ref44415971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F2E6A">
        <w:rPr>
          <w:noProof/>
        </w:rPr>
        <w:t>1</w:t>
      </w:r>
      <w:r>
        <w:fldChar w:fldCharType="end"/>
      </w:r>
      <w:bookmarkEnd w:id="4"/>
      <w:r>
        <w:t xml:space="preserve"> – Compression results for ERR174310</w:t>
      </w:r>
    </w:p>
    <w:p w14:paraId="06A510E4" w14:textId="77777777" w:rsidR="000B676D" w:rsidRDefault="000B676D" w:rsidP="000B676D">
      <w:pPr>
        <w:jc w:val="both"/>
        <w:rPr>
          <w:lang w:val="en-US"/>
        </w:rPr>
      </w:pPr>
    </w:p>
    <w:p w14:paraId="44890D30" w14:textId="77777777" w:rsidR="005869D4" w:rsidRDefault="001F2E6A" w:rsidP="001F2E6A">
      <w:pPr>
        <w:jc w:val="both"/>
        <w:rPr>
          <w:lang w:val="en-US"/>
        </w:rPr>
      </w:pPr>
      <w:r>
        <w:rPr>
          <w:lang w:val="en-US"/>
        </w:rPr>
        <w:t xml:space="preserve">Tool1 in figure 1 represents the currently most used compression solution for raw sequence data and is represented in grey as it does not allow </w:t>
      </w:r>
      <w:r w:rsidR="005869D4">
        <w:rPr>
          <w:lang w:val="en-US"/>
        </w:rPr>
        <w:t>separation</w:t>
      </w:r>
      <w:r>
        <w:rPr>
          <w:lang w:val="en-US"/>
        </w:rPr>
        <w:t xml:space="preserve"> of the four classes of data in the encoded file.</w:t>
      </w:r>
      <w:r w:rsidR="005869D4">
        <w:rPr>
          <w:lang w:val="en-US"/>
        </w:rPr>
        <w:t xml:space="preserve"> </w:t>
      </w:r>
    </w:p>
    <w:p w14:paraId="790A4360" w14:textId="72A3D042" w:rsidR="00F50B02" w:rsidRDefault="005869D4" w:rsidP="001F2E6A">
      <w:pPr>
        <w:jc w:val="both"/>
        <w:rPr>
          <w:lang w:val="en-US"/>
        </w:rPr>
      </w:pPr>
      <w:r>
        <w:rPr>
          <w:lang w:val="en-US"/>
        </w:rPr>
        <w:t xml:space="preserve">Figure 1 </w:t>
      </w:r>
      <w:proofErr w:type="gramStart"/>
      <w:r>
        <w:rPr>
          <w:lang w:val="en-US"/>
        </w:rPr>
        <w:t>shows</w:t>
      </w:r>
      <w:proofErr w:type="gramEnd"/>
      <w:r>
        <w:rPr>
          <w:lang w:val="en-US"/>
        </w:rPr>
        <w:t xml:space="preserve"> that some of the tools only support compression of one class of data (sequences), but they have been retained since their performance is the best among all the measured tools.</w:t>
      </w:r>
      <w:r w:rsidR="00F50B02">
        <w:rPr>
          <w:lang w:val="en-US"/>
        </w:rPr>
        <w:br w:type="page"/>
      </w:r>
    </w:p>
    <w:p w14:paraId="19C7A6AC" w14:textId="00076076" w:rsidR="005B0C06" w:rsidRDefault="005B0C06" w:rsidP="005B0C06">
      <w:pPr>
        <w:pStyle w:val="Heading2"/>
        <w:rPr>
          <w:lang w:val="en-US"/>
        </w:rPr>
      </w:pPr>
      <w:bookmarkStart w:id="5" w:name="_Toc444306458"/>
      <w:r>
        <w:rPr>
          <w:lang w:val="en-US"/>
        </w:rPr>
        <w:lastRenderedPageBreak/>
        <w:t>High coverage human sample</w:t>
      </w:r>
      <w:bookmarkEnd w:id="5"/>
    </w:p>
    <w:p w14:paraId="71788213" w14:textId="1BEC59B2" w:rsidR="005B0C06" w:rsidRDefault="005B0C06" w:rsidP="00994619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In order </w:t>
      </w:r>
      <w:r w:rsidR="00672CF6">
        <w:rPr>
          <w:lang w:val="en-US"/>
        </w:rPr>
        <w:t>to evaluate how the different solutions are able to exploit the redundancy of sequence data at very high (&gt; 30x) coverage, compression tests have been performed on a set of FASTQ files of about 1TB</w:t>
      </w:r>
      <w:r w:rsidR="00C037D1">
        <w:rPr>
          <w:lang w:val="en-US"/>
        </w:rPr>
        <w:t xml:space="preserve"> (files ERR174324 to ERR174341 in set ERS179577).</w:t>
      </w:r>
      <w:proofErr w:type="gramEnd"/>
      <w:r w:rsidR="00C037D1">
        <w:rPr>
          <w:lang w:val="en-US"/>
        </w:rPr>
        <w:t xml:space="preserve"> </w:t>
      </w:r>
      <w:proofErr w:type="gramStart"/>
      <w:r w:rsidR="00C037D1">
        <w:rPr>
          <w:lang w:val="en-US"/>
        </w:rPr>
        <w:t>Results for the overall encoded file and the 4 classes of data are shown in figure 2.</w:t>
      </w:r>
      <w:proofErr w:type="gramEnd"/>
    </w:p>
    <w:p w14:paraId="0A00FEEA" w14:textId="77777777" w:rsidR="00994619" w:rsidRPr="005B0C06" w:rsidRDefault="00994619" w:rsidP="00672CF6">
      <w:pPr>
        <w:rPr>
          <w:lang w:val="en-US"/>
        </w:rPr>
      </w:pPr>
    </w:p>
    <w:tbl>
      <w:tblPr>
        <w:tblStyle w:val="TableGrid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7926"/>
      </w:tblGrid>
      <w:tr w:rsidR="005B0C06" w14:paraId="1C6BF2A9" w14:textId="77777777" w:rsidTr="00994619">
        <w:trPr>
          <w:trHeight w:val="12028"/>
        </w:trPr>
        <w:tc>
          <w:tcPr>
            <w:tcW w:w="1246" w:type="dxa"/>
          </w:tcPr>
          <w:p w14:paraId="369E9357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C874FB0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6E090008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6A531EBA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11CEAE19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40F9B778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47004DE3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1B8C864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58EC47C6" w14:textId="77777777" w:rsidR="00974C61" w:rsidRDefault="00974C61" w:rsidP="004C2CF9">
            <w:pPr>
              <w:jc w:val="right"/>
              <w:rPr>
                <w:lang w:val="en-CA"/>
              </w:rPr>
            </w:pPr>
          </w:p>
          <w:p w14:paraId="58EC96BE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Tool1</w:t>
            </w:r>
          </w:p>
          <w:p w14:paraId="075FDEF4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03F8E7A6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EDB76D6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446ADE09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52D4E77E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Tool2</w:t>
            </w:r>
          </w:p>
          <w:p w14:paraId="4CC1C003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3FF01ADE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9438013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2D955968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1E21F982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Tool3</w:t>
            </w:r>
          </w:p>
          <w:p w14:paraId="186DBBD5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44CB986B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51A329FF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B8EEF67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Tool4</w:t>
            </w:r>
          </w:p>
          <w:p w14:paraId="35834578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080CDA99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02AD66D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3671124D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2AD7F3CF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Tool5</w:t>
            </w:r>
          </w:p>
          <w:p w14:paraId="39B10BE4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5821EC70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287870E3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2F8F7308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2D3CC715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Tool6</w:t>
            </w:r>
          </w:p>
          <w:p w14:paraId="0FAE4DEB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2CEFE951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6760D945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097C15A5" w14:textId="77777777" w:rsidR="005B0C06" w:rsidRDefault="005B0C06" w:rsidP="004C2CF9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original data</w:t>
            </w:r>
          </w:p>
          <w:p w14:paraId="78570BCB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3E6C5512" w14:textId="77777777" w:rsidR="005B0C06" w:rsidRDefault="005B0C06" w:rsidP="004C2CF9">
            <w:pPr>
              <w:jc w:val="right"/>
              <w:rPr>
                <w:lang w:val="en-CA"/>
              </w:rPr>
            </w:pPr>
          </w:p>
          <w:p w14:paraId="775D1907" w14:textId="77777777" w:rsidR="005B0C06" w:rsidRDefault="005B0C06" w:rsidP="00994619">
            <w:pPr>
              <w:rPr>
                <w:lang w:val="en-CA"/>
              </w:rPr>
            </w:pPr>
          </w:p>
        </w:tc>
        <w:tc>
          <w:tcPr>
            <w:tcW w:w="7756" w:type="dxa"/>
          </w:tcPr>
          <w:p w14:paraId="49960C8A" w14:textId="43DFDF0F" w:rsidR="005B0C06" w:rsidRDefault="00994619" w:rsidP="004C2CF9">
            <w:pPr>
              <w:jc w:val="right"/>
              <w:rPr>
                <w:lang w:val="en-C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684C32" wp14:editId="6028FA6A">
                  <wp:extent cx="4888865" cy="794385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144" cy="7949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A5979" w14:textId="62681C76" w:rsidR="005B0C06" w:rsidRPr="00C037D1" w:rsidRDefault="00C037D1" w:rsidP="00994619">
      <w:pPr>
        <w:pStyle w:val="Caption"/>
        <w:jc w:val="center"/>
        <w:rPr>
          <w:sz w:val="24"/>
          <w:lang w:val="en-US"/>
        </w:rPr>
      </w:pPr>
      <w:r w:rsidRPr="00C037D1">
        <w:rPr>
          <w:sz w:val="24"/>
        </w:rPr>
        <w:t xml:space="preserve">Figure </w:t>
      </w:r>
      <w:r w:rsidRPr="00C037D1">
        <w:rPr>
          <w:sz w:val="24"/>
        </w:rPr>
        <w:fldChar w:fldCharType="begin"/>
      </w:r>
      <w:r w:rsidRPr="00C037D1">
        <w:rPr>
          <w:sz w:val="24"/>
        </w:rPr>
        <w:instrText xml:space="preserve"> SEQ Figure \* ARABIC </w:instrText>
      </w:r>
      <w:r w:rsidRPr="00C037D1">
        <w:rPr>
          <w:sz w:val="24"/>
        </w:rPr>
        <w:fldChar w:fldCharType="separate"/>
      </w:r>
      <w:r w:rsidR="001F2E6A">
        <w:rPr>
          <w:noProof/>
          <w:sz w:val="24"/>
        </w:rPr>
        <w:t>2</w:t>
      </w:r>
      <w:r w:rsidRPr="00C037D1">
        <w:rPr>
          <w:sz w:val="24"/>
        </w:rPr>
        <w:fldChar w:fldCharType="end"/>
      </w:r>
      <w:r w:rsidRPr="00C037D1">
        <w:rPr>
          <w:sz w:val="24"/>
        </w:rPr>
        <w:t xml:space="preserve"> - Compression performance on high coverage human samples</w:t>
      </w:r>
    </w:p>
    <w:p w14:paraId="0DEA0C33" w14:textId="66E2B799" w:rsidR="005B0C06" w:rsidRPr="005B0C06" w:rsidRDefault="005B0C06" w:rsidP="005B0C06">
      <w:pPr>
        <w:pStyle w:val="Heading1"/>
        <w:rPr>
          <w:lang w:val="en-US"/>
        </w:rPr>
      </w:pPr>
      <w:bookmarkStart w:id="6" w:name="_Toc444306459"/>
      <w:r>
        <w:rPr>
          <w:lang w:val="en-US"/>
        </w:rPr>
        <w:lastRenderedPageBreak/>
        <w:t>Aligned data</w:t>
      </w:r>
      <w:bookmarkEnd w:id="6"/>
    </w:p>
    <w:p w14:paraId="22AA55D4" w14:textId="7BAB7968" w:rsidR="005B0C06" w:rsidRDefault="005B0C06" w:rsidP="005B0C06">
      <w:pPr>
        <w:pStyle w:val="Heading2"/>
        <w:rPr>
          <w:lang w:val="en-US"/>
        </w:rPr>
      </w:pPr>
      <w:bookmarkStart w:id="7" w:name="_Toc444306460"/>
      <w:r>
        <w:rPr>
          <w:lang w:val="en-US"/>
        </w:rPr>
        <w:t>High coverage human sample</w:t>
      </w:r>
      <w:bookmarkEnd w:id="7"/>
    </w:p>
    <w:p w14:paraId="2FB548E6" w14:textId="77777777" w:rsidR="005B0C06" w:rsidRDefault="005B0C06" w:rsidP="000B676D">
      <w:pPr>
        <w:jc w:val="both"/>
        <w:rPr>
          <w:lang w:val="en-US"/>
        </w:rPr>
      </w:pPr>
    </w:p>
    <w:p w14:paraId="4E3DCAC9" w14:textId="77777777" w:rsidR="000939C4" w:rsidRDefault="000B676D" w:rsidP="000B676D">
      <w:pPr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_Ref444159738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F2E6A" w:rsidRPr="004C2CF9">
        <w:t xml:space="preserve">Figure </w:t>
      </w:r>
      <w:r w:rsidR="001F2E6A">
        <w:rPr>
          <w:noProof/>
        </w:rPr>
        <w:t>3</w:t>
      </w:r>
      <w:r>
        <w:rPr>
          <w:lang w:val="en-US"/>
        </w:rPr>
        <w:fldChar w:fldCharType="end"/>
      </w:r>
      <w:r>
        <w:rPr>
          <w:lang w:val="en-US"/>
        </w:rPr>
        <w:t xml:space="preserve"> shows the compression results </w:t>
      </w:r>
      <w:r w:rsidR="00D50586">
        <w:rPr>
          <w:lang w:val="en-US"/>
        </w:rPr>
        <w:t xml:space="preserve">for </w:t>
      </w:r>
      <w:r>
        <w:rPr>
          <w:lang w:val="en-US"/>
        </w:rPr>
        <w:t>aligned data, specifically for the human high coverage (</w:t>
      </w:r>
      <w:proofErr w:type="gramStart"/>
      <w:r>
        <w:rPr>
          <w:lang w:val="en-US"/>
        </w:rPr>
        <w:t>50x</w:t>
      </w:r>
      <w:proofErr w:type="gramEnd"/>
      <w:r>
        <w:rPr>
          <w:lang w:val="en-US"/>
        </w:rPr>
        <w:t xml:space="preserve">) sample NA12878_S1. </w:t>
      </w:r>
    </w:p>
    <w:p w14:paraId="1E564F0D" w14:textId="77777777" w:rsidR="000939C4" w:rsidRDefault="000939C4" w:rsidP="000B676D">
      <w:pPr>
        <w:jc w:val="both"/>
        <w:rPr>
          <w:lang w:val="en-US"/>
        </w:rPr>
      </w:pPr>
    </w:p>
    <w:p w14:paraId="0585B2F4" w14:textId="33996221" w:rsidR="000B676D" w:rsidRDefault="000B676D" w:rsidP="000B676D">
      <w:pPr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_Ref444159745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F2E6A" w:rsidRPr="004C2CF9">
        <w:t xml:space="preserve">Figure </w:t>
      </w:r>
      <w:r w:rsidR="001F2E6A">
        <w:rPr>
          <w:noProof/>
        </w:rPr>
        <w:t>4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D50586">
        <w:rPr>
          <w:lang w:val="en-US"/>
        </w:rPr>
        <w:t xml:space="preserve">reports </w:t>
      </w:r>
      <w:r>
        <w:rPr>
          <w:lang w:val="en-US"/>
        </w:rPr>
        <w:t>the same results, but without quality scores</w:t>
      </w:r>
      <w:r w:rsidR="00EC506E">
        <w:rPr>
          <w:lang w:val="en-US"/>
        </w:rPr>
        <w:t>. This</w:t>
      </w:r>
      <w:r w:rsidR="00D50586">
        <w:rPr>
          <w:lang w:val="en-US"/>
        </w:rPr>
        <w:t xml:space="preserve"> </w:t>
      </w:r>
      <w:proofErr w:type="gramStart"/>
      <w:r w:rsidR="00D50586">
        <w:rPr>
          <w:lang w:val="en-US"/>
        </w:rPr>
        <w:t>show</w:t>
      </w:r>
      <w:r w:rsidR="00EC506E">
        <w:rPr>
          <w:lang w:val="en-US"/>
        </w:rPr>
        <w:t>s</w:t>
      </w:r>
      <w:proofErr w:type="gramEnd"/>
      <w:r w:rsidR="00D50586">
        <w:rPr>
          <w:lang w:val="en-US"/>
        </w:rPr>
        <w:t xml:space="preserve"> how relevant is considering solutions </w:t>
      </w:r>
      <w:r w:rsidR="00EC506E">
        <w:rPr>
          <w:lang w:val="en-US"/>
        </w:rPr>
        <w:t xml:space="preserve">supporting </w:t>
      </w:r>
      <w:r w:rsidR="00D50586">
        <w:rPr>
          <w:lang w:val="en-US"/>
        </w:rPr>
        <w:t>lossy compression of metadata</w:t>
      </w:r>
      <w:r>
        <w:rPr>
          <w:lang w:val="en-US"/>
        </w:rPr>
        <w:t>.</w:t>
      </w:r>
    </w:p>
    <w:p w14:paraId="70236F00" w14:textId="77777777" w:rsidR="000939C4" w:rsidRDefault="000939C4" w:rsidP="000B676D">
      <w:pPr>
        <w:jc w:val="both"/>
        <w:rPr>
          <w:lang w:val="en-US"/>
        </w:rPr>
      </w:pPr>
    </w:p>
    <w:p w14:paraId="13190354" w14:textId="7ACD27C1" w:rsidR="000B676D" w:rsidRDefault="00CF6DE6" w:rsidP="000B676D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8432961" wp14:editId="436452E6">
            <wp:extent cx="5949950" cy="2840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EEFFD" w14:textId="41726F0F" w:rsidR="000B676D" w:rsidRDefault="000B676D" w:rsidP="000B676D">
      <w:pPr>
        <w:keepNext/>
        <w:jc w:val="both"/>
      </w:pPr>
    </w:p>
    <w:p w14:paraId="24B9A357" w14:textId="77777777" w:rsidR="000B676D" w:rsidRPr="004C2CF9" w:rsidRDefault="000B676D" w:rsidP="00122C2E">
      <w:pPr>
        <w:pStyle w:val="Caption"/>
        <w:jc w:val="center"/>
        <w:rPr>
          <w:sz w:val="24"/>
          <w:lang w:val="en-US"/>
        </w:rPr>
      </w:pPr>
      <w:bookmarkStart w:id="8" w:name="_Ref444159738"/>
      <w:r w:rsidRPr="004C2CF9">
        <w:rPr>
          <w:sz w:val="24"/>
        </w:rPr>
        <w:t xml:space="preserve">Figure </w:t>
      </w:r>
      <w:r w:rsidRPr="004C2CF9">
        <w:rPr>
          <w:sz w:val="24"/>
        </w:rPr>
        <w:fldChar w:fldCharType="begin"/>
      </w:r>
      <w:r w:rsidRPr="004C2CF9">
        <w:rPr>
          <w:sz w:val="24"/>
        </w:rPr>
        <w:instrText xml:space="preserve"> SEQ Figure \* ARABIC </w:instrText>
      </w:r>
      <w:r w:rsidRPr="004C2CF9">
        <w:rPr>
          <w:sz w:val="24"/>
        </w:rPr>
        <w:fldChar w:fldCharType="separate"/>
      </w:r>
      <w:r w:rsidR="001F2E6A">
        <w:rPr>
          <w:noProof/>
          <w:sz w:val="24"/>
        </w:rPr>
        <w:t>3</w:t>
      </w:r>
      <w:r w:rsidRPr="004C2CF9">
        <w:rPr>
          <w:sz w:val="24"/>
        </w:rPr>
        <w:fldChar w:fldCharType="end"/>
      </w:r>
      <w:bookmarkEnd w:id="8"/>
      <w:r w:rsidRPr="004C2CF9">
        <w:rPr>
          <w:sz w:val="24"/>
        </w:rPr>
        <w:t xml:space="preserve"> – Compression results for NA12878_S1</w:t>
      </w:r>
    </w:p>
    <w:p w14:paraId="00BBFFC6" w14:textId="77777777" w:rsidR="000B676D" w:rsidRDefault="000B676D" w:rsidP="000B676D">
      <w:pPr>
        <w:jc w:val="both"/>
        <w:rPr>
          <w:lang w:val="en-US"/>
        </w:rPr>
      </w:pPr>
    </w:p>
    <w:p w14:paraId="47500720" w14:textId="6341E9B7" w:rsidR="000B676D" w:rsidRDefault="00CF6DE6" w:rsidP="000B676D">
      <w:pPr>
        <w:keepNext/>
        <w:jc w:val="both"/>
      </w:pPr>
      <w:r>
        <w:rPr>
          <w:noProof/>
          <w:lang w:eastAsia="en-GB"/>
        </w:rPr>
        <w:drawing>
          <wp:inline distT="0" distB="0" distL="0" distR="0" wp14:anchorId="283813BE" wp14:editId="3C45F7D8">
            <wp:extent cx="5949950" cy="290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FFFEC" w14:textId="2E8F3B24" w:rsidR="00CF6DE6" w:rsidRDefault="00CF6DE6" w:rsidP="000B676D">
      <w:pPr>
        <w:keepNext/>
        <w:jc w:val="both"/>
      </w:pPr>
    </w:p>
    <w:p w14:paraId="642E394E" w14:textId="7E3ACAA0" w:rsidR="000B676D" w:rsidRPr="004C2CF9" w:rsidRDefault="000B676D" w:rsidP="00122C2E">
      <w:pPr>
        <w:pStyle w:val="Caption"/>
        <w:jc w:val="center"/>
        <w:rPr>
          <w:sz w:val="24"/>
          <w:lang w:val="en-US"/>
        </w:rPr>
      </w:pPr>
      <w:bookmarkStart w:id="9" w:name="_Ref444159745"/>
      <w:r w:rsidRPr="004C2CF9">
        <w:rPr>
          <w:sz w:val="24"/>
        </w:rPr>
        <w:t xml:space="preserve">Figure </w:t>
      </w:r>
      <w:r w:rsidRPr="004C2CF9">
        <w:rPr>
          <w:sz w:val="24"/>
        </w:rPr>
        <w:fldChar w:fldCharType="begin"/>
      </w:r>
      <w:r w:rsidRPr="004C2CF9">
        <w:rPr>
          <w:sz w:val="24"/>
        </w:rPr>
        <w:instrText xml:space="preserve"> SEQ Figure \* ARABIC </w:instrText>
      </w:r>
      <w:r w:rsidRPr="004C2CF9">
        <w:rPr>
          <w:sz w:val="24"/>
        </w:rPr>
        <w:fldChar w:fldCharType="separate"/>
      </w:r>
      <w:r w:rsidR="001F2E6A">
        <w:rPr>
          <w:noProof/>
          <w:sz w:val="24"/>
        </w:rPr>
        <w:t>4</w:t>
      </w:r>
      <w:r w:rsidRPr="004C2CF9">
        <w:rPr>
          <w:sz w:val="24"/>
        </w:rPr>
        <w:fldChar w:fldCharType="end"/>
      </w:r>
      <w:bookmarkEnd w:id="9"/>
      <w:r w:rsidRPr="004C2CF9">
        <w:rPr>
          <w:sz w:val="24"/>
        </w:rPr>
        <w:t xml:space="preserve"> – Compression results (without quality scores) for NA12878_S1</w:t>
      </w:r>
    </w:p>
    <w:p w14:paraId="5C59531B" w14:textId="77777777" w:rsidR="000B676D" w:rsidRDefault="000B676D" w:rsidP="000B676D">
      <w:pPr>
        <w:jc w:val="both"/>
        <w:rPr>
          <w:lang w:val="en-US"/>
        </w:rPr>
      </w:pPr>
    </w:p>
    <w:p w14:paraId="7B8A60A6" w14:textId="615A1985" w:rsidR="00974C61" w:rsidRDefault="00974C61" w:rsidP="000939C4">
      <w:pPr>
        <w:pStyle w:val="Heading1"/>
        <w:rPr>
          <w:lang w:val="en-US"/>
        </w:rPr>
      </w:pPr>
      <w:bookmarkStart w:id="10" w:name="_Toc444306461"/>
      <w:r>
        <w:rPr>
          <w:lang w:val="en-US"/>
        </w:rPr>
        <w:lastRenderedPageBreak/>
        <w:t>Computational complexity</w:t>
      </w:r>
      <w:bookmarkEnd w:id="10"/>
    </w:p>
    <w:p w14:paraId="0D9FDEAB" w14:textId="593AD7DF" w:rsidR="00D8056B" w:rsidRDefault="00974C61" w:rsidP="00AA2ED5">
      <w:pPr>
        <w:jc w:val="both"/>
        <w:rPr>
          <w:lang w:val="en-US"/>
        </w:rPr>
      </w:pPr>
      <w:r>
        <w:rPr>
          <w:lang w:val="en-US"/>
        </w:rPr>
        <w:t xml:space="preserve">The Call for Evidence respondents provided information to assess the complexity of the proposed solutions. This included encoding and decoding </w:t>
      </w:r>
      <w:r w:rsidR="00AA2ED5">
        <w:rPr>
          <w:lang w:val="en-US"/>
        </w:rPr>
        <w:t>time</w:t>
      </w:r>
      <w:r>
        <w:rPr>
          <w:lang w:val="en-US"/>
        </w:rPr>
        <w:t xml:space="preserve"> </w:t>
      </w:r>
      <w:r w:rsidR="00586EF7">
        <w:rPr>
          <w:lang w:val="en-US"/>
        </w:rPr>
        <w:t xml:space="preserve">and average memory footprint </w:t>
      </w:r>
      <w:r>
        <w:rPr>
          <w:lang w:val="en-US"/>
        </w:rPr>
        <w:t xml:space="preserve">on a typical Intel </w:t>
      </w:r>
      <w:proofErr w:type="gramStart"/>
      <w:r w:rsidR="00AA2ED5">
        <w:rPr>
          <w:lang w:val="en-US"/>
        </w:rPr>
        <w:t xml:space="preserve">x86 </w:t>
      </w:r>
      <w:r>
        <w:rPr>
          <w:lang w:val="en-US"/>
        </w:rPr>
        <w:t xml:space="preserve">architecture for </w:t>
      </w:r>
      <w:r w:rsidR="00960084">
        <w:rPr>
          <w:lang w:val="en-US"/>
        </w:rPr>
        <w:t>several available configuration</w:t>
      </w:r>
      <w:r w:rsidR="00586EF7">
        <w:rPr>
          <w:lang w:val="en-US"/>
        </w:rPr>
        <w:t>s</w:t>
      </w:r>
      <w:r w:rsidR="00960084">
        <w:rPr>
          <w:lang w:val="en-US"/>
        </w:rPr>
        <w:t xml:space="preserve"> of the tested solutions</w:t>
      </w:r>
      <w:proofErr w:type="gramEnd"/>
      <w:r w:rsidR="00960084">
        <w:rPr>
          <w:lang w:val="en-US"/>
        </w:rPr>
        <w:t>.</w:t>
      </w:r>
      <w:r w:rsidR="00AA2ED5">
        <w:rPr>
          <w:lang w:val="en-US"/>
        </w:rPr>
        <w:t xml:space="preserve"> </w:t>
      </w:r>
      <w:r w:rsidR="00586EF7">
        <w:rPr>
          <w:lang w:val="en-US"/>
        </w:rPr>
        <w:fldChar w:fldCharType="begin"/>
      </w:r>
      <w:r w:rsidR="00586EF7">
        <w:rPr>
          <w:lang w:val="en-US"/>
        </w:rPr>
        <w:instrText xml:space="preserve"> REF _Ref444304131 \h </w:instrText>
      </w:r>
      <w:r w:rsidR="00586EF7">
        <w:rPr>
          <w:lang w:val="en-US"/>
        </w:rPr>
      </w:r>
      <w:r w:rsidR="00586EF7">
        <w:rPr>
          <w:lang w:val="en-US"/>
        </w:rPr>
        <w:fldChar w:fldCharType="separate"/>
      </w:r>
      <w:r w:rsidR="001F2E6A" w:rsidRPr="00586EF7">
        <w:t xml:space="preserve">Table </w:t>
      </w:r>
      <w:r w:rsidR="001F2E6A">
        <w:rPr>
          <w:noProof/>
        </w:rPr>
        <w:t>1</w:t>
      </w:r>
      <w:r w:rsidR="00586EF7">
        <w:rPr>
          <w:lang w:val="en-US"/>
        </w:rPr>
        <w:fldChar w:fldCharType="end"/>
      </w:r>
      <w:r w:rsidR="00586EF7">
        <w:rPr>
          <w:lang w:val="en-US"/>
        </w:rPr>
        <w:t xml:space="preserve"> </w:t>
      </w:r>
      <w:r w:rsidR="00DC449A">
        <w:rPr>
          <w:lang w:val="en-US"/>
        </w:rPr>
        <w:t xml:space="preserve">and </w:t>
      </w:r>
      <w:r w:rsidR="00201672">
        <w:rPr>
          <w:lang w:val="en-US"/>
        </w:rPr>
        <w:fldChar w:fldCharType="begin"/>
      </w:r>
      <w:r w:rsidR="00201672">
        <w:rPr>
          <w:lang w:val="en-US"/>
        </w:rPr>
        <w:instrText xml:space="preserve"> REF _Ref444305972 \h </w:instrText>
      </w:r>
      <w:r w:rsidR="00201672">
        <w:rPr>
          <w:lang w:val="en-US"/>
        </w:rPr>
      </w:r>
      <w:r w:rsidR="00201672">
        <w:rPr>
          <w:lang w:val="en-US"/>
        </w:rPr>
        <w:fldChar w:fldCharType="separate"/>
      </w:r>
      <w:r w:rsidR="001F2E6A" w:rsidRPr="00DC449A">
        <w:t xml:space="preserve">Table </w:t>
      </w:r>
      <w:r w:rsidR="001F2E6A">
        <w:rPr>
          <w:noProof/>
        </w:rPr>
        <w:t>2</w:t>
      </w:r>
      <w:r w:rsidR="00201672">
        <w:rPr>
          <w:lang w:val="en-US"/>
        </w:rPr>
        <w:fldChar w:fldCharType="end"/>
      </w:r>
      <w:r w:rsidR="00201672">
        <w:rPr>
          <w:lang w:val="en-US"/>
        </w:rPr>
        <w:t xml:space="preserve"> show</w:t>
      </w:r>
      <w:r w:rsidR="00586EF7">
        <w:rPr>
          <w:lang w:val="en-US"/>
        </w:rPr>
        <w:t xml:space="preserve"> the tools performance for the encoding and dec</w:t>
      </w:r>
      <w:r w:rsidR="00CF587A">
        <w:rPr>
          <w:lang w:val="en-US"/>
        </w:rPr>
        <w:t>oding of a FASTQ file from item</w:t>
      </w:r>
      <w:r w:rsidR="00DC449A">
        <w:rPr>
          <w:lang w:val="en-US"/>
        </w:rPr>
        <w:t>s</w:t>
      </w:r>
      <w:r w:rsidR="00CF587A">
        <w:rPr>
          <w:lang w:val="en-US"/>
        </w:rPr>
        <w:t xml:space="preserve"> 01 </w:t>
      </w:r>
      <w:r w:rsidR="00DC449A">
        <w:rPr>
          <w:lang w:val="en-US"/>
        </w:rPr>
        <w:t xml:space="preserve">and 02 </w:t>
      </w:r>
      <w:r w:rsidR="00CF587A">
        <w:rPr>
          <w:lang w:val="en-US"/>
        </w:rPr>
        <w:t xml:space="preserve">listed in document N16145 </w:t>
      </w:r>
      <w:sdt>
        <w:sdtPr>
          <w:rPr>
            <w:lang w:val="en-US"/>
          </w:rPr>
          <w:id w:val="1570302056"/>
          <w:citation/>
        </w:sdtPr>
        <w:sdtEndPr/>
        <w:sdtContent>
          <w:r w:rsidR="00CF587A">
            <w:rPr>
              <w:lang w:val="en-US"/>
            </w:rPr>
            <w:fldChar w:fldCharType="begin"/>
          </w:r>
          <w:r w:rsidR="00CF587A">
            <w:instrText xml:space="preserve"> CITATION MPE163 \l 2057 </w:instrText>
          </w:r>
          <w:r w:rsidR="00CF587A">
            <w:rPr>
              <w:lang w:val="en-US"/>
            </w:rPr>
            <w:fldChar w:fldCharType="separate"/>
          </w:r>
          <w:r w:rsidR="001F2E6A" w:rsidRPr="001F2E6A">
            <w:rPr>
              <w:noProof/>
            </w:rPr>
            <w:t>[2]</w:t>
          </w:r>
          <w:r w:rsidR="00CF587A">
            <w:rPr>
              <w:lang w:val="en-US"/>
            </w:rPr>
            <w:fldChar w:fldCharType="end"/>
          </w:r>
        </w:sdtContent>
      </w:sdt>
      <w:r w:rsidR="00CF587A">
        <w:rPr>
          <w:lang w:val="en-US"/>
        </w:rPr>
        <w:t>.</w:t>
      </w:r>
    </w:p>
    <w:p w14:paraId="06AACBD3" w14:textId="634F1A41" w:rsidR="00974C61" w:rsidRDefault="00586EF7" w:rsidP="00AA2ED5">
      <w:pPr>
        <w:jc w:val="both"/>
        <w:rPr>
          <w:lang w:val="en-US"/>
        </w:rPr>
      </w:pPr>
      <w:r>
        <w:rPr>
          <w:lang w:val="en-US"/>
        </w:rPr>
        <w:t>In terms of encoding</w:t>
      </w:r>
      <w:r w:rsidR="005E79B2">
        <w:rPr>
          <w:lang w:val="en-US"/>
        </w:rPr>
        <w:t xml:space="preserve"> and decoding</w:t>
      </w:r>
      <w:r>
        <w:rPr>
          <w:lang w:val="en-US"/>
        </w:rPr>
        <w:t xml:space="preserve"> </w:t>
      </w:r>
      <w:r w:rsidR="00D8056B">
        <w:rPr>
          <w:lang w:val="en-US"/>
        </w:rPr>
        <w:t>time the tools performance were comparable without any tool being outstandi</w:t>
      </w:r>
      <w:r>
        <w:rPr>
          <w:lang w:val="en-US"/>
        </w:rPr>
        <w:t xml:space="preserve">ng with respect to the others. </w:t>
      </w:r>
      <w:r w:rsidR="00CF587A">
        <w:rPr>
          <w:lang w:val="en-US"/>
        </w:rPr>
        <w:t xml:space="preserve">The </w:t>
      </w:r>
      <w:r w:rsidR="005E79B2">
        <w:rPr>
          <w:lang w:val="en-US"/>
        </w:rPr>
        <w:t>fastest encoder was 5 times faster than the slowest while the fastest decoder was 10 time faster than the slower. The latter is due to the fact that</w:t>
      </w:r>
      <w:r w:rsidR="00CF587A">
        <w:rPr>
          <w:lang w:val="en-US"/>
        </w:rPr>
        <w:t xml:space="preserve"> some of the tools have already been optimized for parallel processing while others are still under development and optimization. </w:t>
      </w:r>
    </w:p>
    <w:p w14:paraId="6CAF0C99" w14:textId="6D6B5626" w:rsidR="005E79B2" w:rsidRDefault="005E79B2" w:rsidP="00AA2ED5">
      <w:pPr>
        <w:jc w:val="both"/>
        <w:rPr>
          <w:lang w:val="en-US"/>
        </w:rPr>
      </w:pPr>
      <w:r>
        <w:rPr>
          <w:lang w:val="en-US"/>
        </w:rPr>
        <w:t>Memory footprint presented a higher variance (up to a factor of 1,000), but the measured memory requirements are largely satisfied by a</w:t>
      </w:r>
      <w:r w:rsidR="00201672">
        <w:rPr>
          <w:lang w:val="en-US"/>
        </w:rPr>
        <w:t>verage computer architectures (6</w:t>
      </w:r>
      <w:r w:rsidR="00612A7F">
        <w:rPr>
          <w:lang w:val="en-US"/>
        </w:rPr>
        <w:t xml:space="preserve"> </w:t>
      </w:r>
      <w:r>
        <w:rPr>
          <w:lang w:val="en-US"/>
        </w:rPr>
        <w:t>GB max required).</w:t>
      </w:r>
    </w:p>
    <w:p w14:paraId="3E316D14" w14:textId="77777777" w:rsidR="00DF1394" w:rsidRDefault="00DF1394" w:rsidP="00AA2ED5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33"/>
        <w:gridCol w:w="1473"/>
        <w:gridCol w:w="2400"/>
        <w:gridCol w:w="1428"/>
        <w:gridCol w:w="2218"/>
      </w:tblGrid>
      <w:tr w:rsidR="00A831EA" w:rsidRPr="00F1498A" w14:paraId="29A0B18E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E07FF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5BC72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F1498A">
              <w:rPr>
                <w:rFonts w:eastAsia="Times New Roman"/>
                <w:b/>
                <w:lang w:eastAsia="fr-CH"/>
              </w:rPr>
              <w:t>Encoding</w:t>
            </w:r>
          </w:p>
        </w:tc>
        <w:tc>
          <w:tcPr>
            <w:tcW w:w="3646" w:type="dxa"/>
            <w:gridSpan w:val="2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EB3018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F1498A">
              <w:rPr>
                <w:rFonts w:eastAsia="Times New Roman"/>
                <w:b/>
                <w:lang w:eastAsia="fr-CH"/>
              </w:rPr>
              <w:t>Decoding</w:t>
            </w:r>
          </w:p>
        </w:tc>
      </w:tr>
      <w:tr w:rsidR="00A831EA" w:rsidRPr="00F1498A" w14:paraId="2DE57332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86E34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87DA8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F1498A">
              <w:rPr>
                <w:rFonts w:eastAsia="Times New Roman"/>
                <w:b/>
                <w:lang w:eastAsia="fr-CH"/>
              </w:rPr>
              <w:t>Time</w:t>
            </w:r>
          </w:p>
        </w:tc>
        <w:tc>
          <w:tcPr>
            <w:tcW w:w="2400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397BC8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F1498A">
              <w:rPr>
                <w:rFonts w:eastAsia="Times New Roman"/>
                <w:b/>
                <w:lang w:eastAsia="fr-CH"/>
              </w:rPr>
              <w:t>Memory (MB)</w:t>
            </w:r>
          </w:p>
        </w:tc>
        <w:tc>
          <w:tcPr>
            <w:tcW w:w="1428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E9B1E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F1498A">
              <w:rPr>
                <w:rFonts w:eastAsia="Times New Roman"/>
                <w:b/>
                <w:lang w:eastAsia="fr-CH"/>
              </w:rPr>
              <w:t>Time</w:t>
            </w:r>
          </w:p>
        </w:tc>
        <w:tc>
          <w:tcPr>
            <w:tcW w:w="2218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1CA94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F1498A">
              <w:rPr>
                <w:rFonts w:eastAsia="Times New Roman"/>
                <w:b/>
                <w:lang w:eastAsia="fr-CH"/>
              </w:rPr>
              <w:t>Memory (MB)</w:t>
            </w:r>
          </w:p>
        </w:tc>
      </w:tr>
      <w:tr w:rsidR="00A831EA" w:rsidRPr="00F1498A" w14:paraId="78F23C05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1206D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Tool1</w:t>
            </w:r>
          </w:p>
        </w:tc>
        <w:tc>
          <w:tcPr>
            <w:tcW w:w="1473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5D894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2:08:45</w:t>
            </w:r>
          </w:p>
        </w:tc>
        <w:tc>
          <w:tcPr>
            <w:tcW w:w="2400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27D94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5.70</w:t>
            </w:r>
          </w:p>
        </w:tc>
        <w:tc>
          <w:tcPr>
            <w:tcW w:w="1428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89279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0:15:48</w:t>
            </w:r>
          </w:p>
        </w:tc>
        <w:tc>
          <w:tcPr>
            <w:tcW w:w="2218" w:type="dxa"/>
            <w:tcBorders>
              <w:top w:val="single" w:sz="6" w:space="0" w:color="99999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8019A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5.70</w:t>
            </w:r>
          </w:p>
        </w:tc>
      </w:tr>
      <w:tr w:rsidR="00A831EA" w:rsidRPr="00F1498A" w14:paraId="31A20606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58C2A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F2D4F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1:44:03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9E188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12.00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DC9DD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0:44:44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60A9D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5.70</w:t>
            </w:r>
          </w:p>
        </w:tc>
      </w:tr>
      <w:tr w:rsidR="00A831EA" w:rsidRPr="00F1498A" w14:paraId="56C2D69B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DD79E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58E29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1:15:46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B727E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5,322.10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41D1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1:12:19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C187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1,006.90</w:t>
            </w:r>
          </w:p>
        </w:tc>
      </w:tr>
      <w:tr w:rsidR="00A831EA" w:rsidRPr="00F1498A" w14:paraId="6018EC7F" w14:textId="77777777" w:rsidTr="00A831EA">
        <w:trPr>
          <w:trHeight w:val="255"/>
        </w:trPr>
        <w:tc>
          <w:tcPr>
            <w:tcW w:w="84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FE8A1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Tool4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C26AD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B77A3D">
              <w:rPr>
                <w:rFonts w:eastAsia="Times New Roman"/>
                <w:b/>
                <w:bCs/>
                <w:color w:val="FFFFFF"/>
                <w:lang w:eastAsia="fr-CH"/>
              </w:rPr>
              <w:t>V1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4B1E9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0:25:43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A033F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20.00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B6C4B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0:19:13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63C03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29.40</w:t>
            </w:r>
          </w:p>
        </w:tc>
      </w:tr>
      <w:tr w:rsidR="00A831EA" w:rsidRPr="00F1498A" w14:paraId="30611B88" w14:textId="77777777" w:rsidTr="00A831EA">
        <w:trPr>
          <w:trHeight w:val="45"/>
        </w:trPr>
        <w:tc>
          <w:tcPr>
            <w:tcW w:w="84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35A0D3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78C95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bCs/>
                <w:iCs/>
                <w:color w:val="FFFFFF"/>
                <w:lang w:eastAsia="fr-CH"/>
              </w:rPr>
            </w:pPr>
            <w:r w:rsidRPr="00B77A3D">
              <w:rPr>
                <w:rFonts w:eastAsia="Times New Roman"/>
                <w:b/>
                <w:bCs/>
                <w:iCs/>
                <w:color w:val="FFFFFF"/>
                <w:lang w:eastAsia="fr-CH"/>
              </w:rPr>
              <w:t>V2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8E00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1:26:21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68930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485.60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9D5D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1:31:24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BBE4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392.50</w:t>
            </w:r>
          </w:p>
        </w:tc>
      </w:tr>
      <w:tr w:rsidR="00A831EA" w:rsidRPr="00F1498A" w14:paraId="6D3E0AAD" w14:textId="77777777" w:rsidTr="00A831EA">
        <w:trPr>
          <w:trHeight w:val="210"/>
        </w:trPr>
        <w:tc>
          <w:tcPr>
            <w:tcW w:w="84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9F412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Tool5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50AD7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B77A3D">
              <w:rPr>
                <w:rFonts w:eastAsia="Times New Roman"/>
                <w:b/>
                <w:bCs/>
                <w:color w:val="FFFFFF"/>
                <w:lang w:eastAsia="fr-CH"/>
              </w:rPr>
              <w:t>V1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DABB4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0:59:01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0EAD0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399.00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CFFE8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1:22:28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5906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389.60</w:t>
            </w:r>
          </w:p>
        </w:tc>
      </w:tr>
      <w:tr w:rsidR="00A831EA" w:rsidRPr="00F1498A" w14:paraId="4ACD615C" w14:textId="77777777" w:rsidTr="00A831EA">
        <w:trPr>
          <w:trHeight w:val="210"/>
        </w:trPr>
        <w:tc>
          <w:tcPr>
            <w:tcW w:w="84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2C8457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DA9E3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bCs/>
                <w:iCs/>
                <w:color w:val="FFFFFF"/>
                <w:lang w:eastAsia="fr-CH"/>
              </w:rPr>
            </w:pPr>
            <w:r w:rsidRPr="00B77A3D">
              <w:rPr>
                <w:rFonts w:eastAsia="Times New Roman"/>
                <w:b/>
                <w:bCs/>
                <w:iCs/>
                <w:color w:val="FFFFFF"/>
                <w:lang w:eastAsia="fr-CH"/>
              </w:rPr>
              <w:t>V2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B50B8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1:08:08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4703E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775.00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2ECB7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1:24:02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FFB6E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772.10</w:t>
            </w:r>
          </w:p>
        </w:tc>
      </w:tr>
      <w:tr w:rsidR="00A831EA" w:rsidRPr="00F1498A" w14:paraId="7450D497" w14:textId="77777777" w:rsidTr="00A831EA">
        <w:trPr>
          <w:trHeight w:val="255"/>
        </w:trPr>
        <w:tc>
          <w:tcPr>
            <w:tcW w:w="84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CDB51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Tool6</w:t>
            </w: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6848D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B77A3D">
              <w:rPr>
                <w:rFonts w:eastAsia="Times New Roman"/>
                <w:b/>
                <w:bCs/>
                <w:color w:val="FFFFFF"/>
                <w:lang w:eastAsia="fr-CH"/>
              </w:rPr>
              <w:t>V1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7CBB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0:40:41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E4786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77.50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AD40C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0:52:06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58734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65.40</w:t>
            </w:r>
          </w:p>
        </w:tc>
      </w:tr>
      <w:tr w:rsidR="00A831EA" w:rsidRPr="00F1498A" w14:paraId="74CEC921" w14:textId="77777777" w:rsidTr="00A831EA">
        <w:trPr>
          <w:trHeight w:val="255"/>
        </w:trPr>
        <w:tc>
          <w:tcPr>
            <w:tcW w:w="84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BF8AAFA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4180D" w14:textId="77777777" w:rsidR="00A831EA" w:rsidRPr="00F1498A" w:rsidRDefault="00A831EA" w:rsidP="008F2737">
            <w:pPr>
              <w:jc w:val="center"/>
              <w:rPr>
                <w:rFonts w:eastAsia="Times New Roman"/>
                <w:b/>
                <w:bCs/>
                <w:iCs/>
                <w:color w:val="FFFFFF"/>
                <w:lang w:eastAsia="fr-CH"/>
              </w:rPr>
            </w:pPr>
            <w:r w:rsidRPr="00B77A3D">
              <w:rPr>
                <w:rFonts w:eastAsia="Times New Roman"/>
                <w:b/>
                <w:bCs/>
                <w:iCs/>
                <w:color w:val="FFFFFF"/>
                <w:lang w:eastAsia="fr-CH"/>
              </w:rPr>
              <w:t>V2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BA5C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0:44:05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2C0D9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330.50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CEF3D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0:54:53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2F005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318.40</w:t>
            </w:r>
          </w:p>
        </w:tc>
      </w:tr>
      <w:tr w:rsidR="00A831EA" w:rsidRPr="00F1498A" w14:paraId="41C1A3B9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6E49C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Tool7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D049E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1:00:02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71A56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79.00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A0F50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1:15:15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A4123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78.90</w:t>
            </w:r>
          </w:p>
        </w:tc>
      </w:tr>
      <w:tr w:rsidR="00A831EA" w:rsidRPr="00F1498A" w14:paraId="08BC7E5B" w14:textId="77777777" w:rsidTr="00A831EA">
        <w:trPr>
          <w:trHeight w:val="210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2B90A" w14:textId="77777777" w:rsidR="00A831EA" w:rsidRPr="00F1498A" w:rsidRDefault="00A831E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Tool8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17D64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2:37:02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4271E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682.70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D6FCE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1:30:42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71DBC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163.00</w:t>
            </w:r>
          </w:p>
        </w:tc>
      </w:tr>
      <w:tr w:rsidR="00A831EA" w:rsidRPr="00F1498A" w14:paraId="59A28155" w14:textId="77777777" w:rsidTr="00A831EA">
        <w:trPr>
          <w:trHeight w:val="255"/>
        </w:trPr>
        <w:tc>
          <w:tcPr>
            <w:tcW w:w="1576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C6981" w14:textId="280754C6" w:rsidR="00A831EA" w:rsidRPr="00F1498A" w:rsidRDefault="00D8056B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>
              <w:rPr>
                <w:rFonts w:eastAsia="Times New Roman"/>
                <w:b/>
                <w:bCs/>
                <w:color w:val="FFFFFF"/>
                <w:lang w:eastAsia="fr-CH"/>
              </w:rPr>
              <w:t>Tool9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83EB9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1:25:27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B1646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527.20</w:t>
            </w:r>
          </w:p>
        </w:tc>
        <w:tc>
          <w:tcPr>
            <w:tcW w:w="142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257D2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0:13:07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CCCCCC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FC558" w14:textId="77777777" w:rsidR="00A831EA" w:rsidRPr="00F1498A" w:rsidRDefault="00A831EA" w:rsidP="008F2737">
            <w:pPr>
              <w:jc w:val="center"/>
              <w:rPr>
                <w:rFonts w:eastAsia="Times New Roman"/>
                <w:lang w:eastAsia="fr-CH"/>
              </w:rPr>
            </w:pPr>
            <w:r w:rsidRPr="00F1498A">
              <w:rPr>
                <w:rFonts w:eastAsia="Times New Roman"/>
                <w:lang w:eastAsia="fr-CH"/>
              </w:rPr>
              <w:t>547.00</w:t>
            </w:r>
          </w:p>
        </w:tc>
      </w:tr>
    </w:tbl>
    <w:p w14:paraId="09325D94" w14:textId="77777777" w:rsidR="00DF1394" w:rsidRDefault="00DF1394" w:rsidP="00AA2ED5">
      <w:pPr>
        <w:jc w:val="both"/>
        <w:rPr>
          <w:lang w:val="en-US"/>
        </w:rPr>
      </w:pPr>
    </w:p>
    <w:p w14:paraId="466CDB46" w14:textId="5C8E205F" w:rsidR="00DF1394" w:rsidRPr="00586EF7" w:rsidRDefault="00D8056B" w:rsidP="00586EF7">
      <w:pPr>
        <w:pStyle w:val="Caption"/>
        <w:jc w:val="center"/>
        <w:rPr>
          <w:sz w:val="24"/>
          <w:lang w:val="en-US"/>
        </w:rPr>
      </w:pPr>
      <w:bookmarkStart w:id="11" w:name="_Ref444304131"/>
      <w:r w:rsidRPr="00586EF7">
        <w:rPr>
          <w:sz w:val="24"/>
        </w:rPr>
        <w:t xml:space="preserve">Table </w:t>
      </w:r>
      <w:r w:rsidRPr="00586EF7">
        <w:rPr>
          <w:sz w:val="24"/>
        </w:rPr>
        <w:fldChar w:fldCharType="begin"/>
      </w:r>
      <w:r w:rsidRPr="00586EF7">
        <w:rPr>
          <w:sz w:val="24"/>
        </w:rPr>
        <w:instrText xml:space="preserve"> SEQ Table \* ARABIC </w:instrText>
      </w:r>
      <w:r w:rsidRPr="00586EF7">
        <w:rPr>
          <w:sz w:val="24"/>
        </w:rPr>
        <w:fldChar w:fldCharType="separate"/>
      </w:r>
      <w:r w:rsidR="001F2E6A">
        <w:rPr>
          <w:noProof/>
          <w:sz w:val="24"/>
        </w:rPr>
        <w:t>1</w:t>
      </w:r>
      <w:r w:rsidRPr="00586EF7">
        <w:rPr>
          <w:sz w:val="24"/>
        </w:rPr>
        <w:fldChar w:fldCharType="end"/>
      </w:r>
      <w:bookmarkEnd w:id="11"/>
      <w:r w:rsidRPr="00586EF7">
        <w:rPr>
          <w:sz w:val="24"/>
        </w:rPr>
        <w:t xml:space="preserve"> - Tools performance for the compression of a FASTQ file</w:t>
      </w:r>
      <w:r w:rsidR="00586EF7" w:rsidRPr="00586EF7">
        <w:rPr>
          <w:sz w:val="24"/>
        </w:rPr>
        <w:t xml:space="preserve"> of 53 GB (ERR174310_1.fastq)</w:t>
      </w:r>
    </w:p>
    <w:p w14:paraId="5924F939" w14:textId="77777777" w:rsidR="00DF1394" w:rsidRDefault="00DF1394" w:rsidP="00AA2ED5">
      <w:pPr>
        <w:jc w:val="both"/>
        <w:rPr>
          <w:lang w:val="en-US"/>
        </w:rPr>
      </w:pPr>
    </w:p>
    <w:p w14:paraId="2ECDBE15" w14:textId="77777777" w:rsidR="00DC449A" w:rsidRDefault="00DC449A" w:rsidP="00AA2ED5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67"/>
        <w:gridCol w:w="1559"/>
        <w:gridCol w:w="2410"/>
        <w:gridCol w:w="1417"/>
        <w:gridCol w:w="2126"/>
      </w:tblGrid>
      <w:tr w:rsidR="00DC449A" w:rsidRPr="005A7985" w14:paraId="01DE29DF" w14:textId="77777777" w:rsidTr="00DC449A">
        <w:trPr>
          <w:trHeight w:val="255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3EE49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9363E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5A7985">
              <w:rPr>
                <w:rFonts w:eastAsia="Times New Roman"/>
                <w:b/>
                <w:lang w:eastAsia="fr-CH"/>
              </w:rPr>
              <w:t>Encoding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2CC8D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5A7985">
              <w:rPr>
                <w:rFonts w:eastAsia="Times New Roman"/>
                <w:b/>
                <w:lang w:eastAsia="fr-CH"/>
              </w:rPr>
              <w:t>Decoding</w:t>
            </w:r>
          </w:p>
        </w:tc>
      </w:tr>
      <w:tr w:rsidR="00DC449A" w:rsidRPr="005A7985" w14:paraId="2A6CDDD4" w14:textId="77777777" w:rsidTr="00DC449A">
        <w:trPr>
          <w:trHeight w:val="255"/>
        </w:trPr>
        <w:tc>
          <w:tcPr>
            <w:tcW w:w="15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91206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54AFE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5A7985">
              <w:rPr>
                <w:rFonts w:eastAsia="Times New Roman"/>
                <w:b/>
                <w:lang w:eastAsia="fr-CH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AE8CF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5A7985">
              <w:rPr>
                <w:rFonts w:eastAsia="Times New Roman"/>
                <w:b/>
                <w:lang w:eastAsia="fr-CH"/>
              </w:rPr>
              <w:t>Memory (MB)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234AC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5A7985">
              <w:rPr>
                <w:rFonts w:eastAsia="Times New Roman"/>
                <w:b/>
                <w:lang w:eastAsia="fr-CH"/>
              </w:rPr>
              <w:t>Time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7BA4C5" w14:textId="77777777" w:rsidR="00DC449A" w:rsidRPr="005A7985" w:rsidRDefault="00DC449A" w:rsidP="008F2737">
            <w:pPr>
              <w:jc w:val="center"/>
              <w:rPr>
                <w:rFonts w:eastAsia="Times New Roman"/>
                <w:b/>
                <w:lang w:eastAsia="fr-CH"/>
              </w:rPr>
            </w:pPr>
            <w:r w:rsidRPr="005A7985">
              <w:rPr>
                <w:rFonts w:eastAsia="Times New Roman"/>
                <w:b/>
                <w:lang w:eastAsia="fr-CH"/>
              </w:rPr>
              <w:t>Memory (MB)</w:t>
            </w:r>
          </w:p>
        </w:tc>
      </w:tr>
      <w:tr w:rsidR="00DC449A" w:rsidRPr="005A7985" w14:paraId="33EB20EB" w14:textId="77777777" w:rsidTr="00DC449A">
        <w:trPr>
          <w:trHeight w:val="255"/>
        </w:trPr>
        <w:tc>
          <w:tcPr>
            <w:tcW w:w="15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6D3B3" w14:textId="77777777" w:rsidR="00DC449A" w:rsidRPr="00AD7815" w:rsidRDefault="00DC449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/>
                <w:lang w:eastAsia="fr-CH"/>
              </w:rPr>
              <w:t>Tool1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45105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2:13:38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5023D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5.90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9456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2:22:07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E673C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5.90</w:t>
            </w:r>
          </w:p>
        </w:tc>
      </w:tr>
      <w:tr w:rsidR="00DC449A" w:rsidRPr="005A7985" w14:paraId="0C2634A9" w14:textId="77777777" w:rsidTr="00DC449A">
        <w:trPr>
          <w:trHeight w:val="255"/>
        </w:trPr>
        <w:tc>
          <w:tcPr>
            <w:tcW w:w="15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AB315" w14:textId="77777777" w:rsidR="00DC449A" w:rsidRPr="00AD7815" w:rsidRDefault="00DC449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/>
                <w:lang w:eastAsia="fr-CH"/>
              </w:rPr>
              <w:t>Tool</w:t>
            </w:r>
            <w:r w:rsidRPr="00AD7815">
              <w:rPr>
                <w:rFonts w:eastAsia="Times New Roman"/>
                <w:b/>
                <w:bCs/>
                <w:color w:val="FFFFFF"/>
                <w:lang w:eastAsia="fr-CH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5130E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7:50:19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8E589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45.80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AB6B9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2:19:10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0BE03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65.50</w:t>
            </w:r>
          </w:p>
        </w:tc>
      </w:tr>
      <w:tr w:rsidR="00DC449A" w:rsidRPr="005A7985" w14:paraId="4CEF87FF" w14:textId="77777777" w:rsidTr="00DC449A">
        <w:trPr>
          <w:trHeight w:val="255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EFA62" w14:textId="77777777" w:rsidR="00DC449A" w:rsidRPr="00AD7815" w:rsidRDefault="00DC449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/>
                <w:lang w:eastAsia="fr-CH"/>
              </w:rPr>
              <w:t>Tool3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843EA" w14:textId="77777777" w:rsidR="00DC449A" w:rsidRPr="00AD7815" w:rsidRDefault="00DC449A" w:rsidP="008F2737">
            <w:pPr>
              <w:jc w:val="center"/>
              <w:rPr>
                <w:rFonts w:eastAsia="Times New Roman"/>
                <w:b/>
                <w:bCs/>
                <w:color w:val="FFFFFF" w:themeColor="background1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 w:themeColor="background1"/>
                <w:lang w:eastAsia="fr-CH"/>
              </w:rPr>
              <w:t>V1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23855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1:44:21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7E3EE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1,143.90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FED23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1:58:34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94315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595.00</w:t>
            </w:r>
          </w:p>
        </w:tc>
      </w:tr>
      <w:tr w:rsidR="00DC449A" w:rsidRPr="005A7985" w14:paraId="48BACB6C" w14:textId="77777777" w:rsidTr="00DC449A">
        <w:trPr>
          <w:trHeight w:val="255"/>
        </w:trPr>
        <w:tc>
          <w:tcPr>
            <w:tcW w:w="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4115C9" w14:textId="77777777" w:rsidR="00DC449A" w:rsidRPr="00AD7815" w:rsidRDefault="00DC449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D72D3" w14:textId="77777777" w:rsidR="00DC449A" w:rsidRPr="00AD7815" w:rsidRDefault="00DC449A" w:rsidP="008F2737">
            <w:pPr>
              <w:jc w:val="center"/>
              <w:rPr>
                <w:rFonts w:eastAsia="Times New Roman"/>
                <w:b/>
                <w:bCs/>
                <w:iCs/>
                <w:color w:val="FFFFFF" w:themeColor="background1"/>
                <w:lang w:eastAsia="fr-CH"/>
              </w:rPr>
            </w:pPr>
            <w:r w:rsidRPr="005A7985">
              <w:rPr>
                <w:rFonts w:eastAsia="Times New Roman"/>
                <w:b/>
                <w:bCs/>
                <w:iCs/>
                <w:color w:val="FFFFFF" w:themeColor="background1"/>
                <w:lang w:eastAsia="fr-CH"/>
              </w:rPr>
              <w:t>V2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AC1F9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1:42:08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04593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384.70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9E342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1:51:16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0200F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275.80</w:t>
            </w:r>
          </w:p>
        </w:tc>
      </w:tr>
      <w:tr w:rsidR="00DC449A" w:rsidRPr="005A7985" w14:paraId="5F556E05" w14:textId="77777777" w:rsidTr="00DC449A">
        <w:trPr>
          <w:trHeight w:val="25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ABE55" w14:textId="77777777" w:rsidR="00DC449A" w:rsidRPr="00AD7815" w:rsidRDefault="00DC449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/>
                <w:lang w:eastAsia="fr-CH"/>
              </w:rPr>
              <w:t>Tool4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4A363" w14:textId="77777777" w:rsidR="00DC449A" w:rsidRPr="00AD7815" w:rsidRDefault="00DC449A" w:rsidP="008F2737">
            <w:pPr>
              <w:jc w:val="center"/>
              <w:rPr>
                <w:rFonts w:eastAsia="Times New Roman"/>
                <w:b/>
                <w:bCs/>
                <w:iCs/>
                <w:color w:val="FFFFFF" w:themeColor="background1"/>
                <w:lang w:eastAsia="fr-CH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CE501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7:32:05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A419D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465.40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3ED3E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8:37:55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128C2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459.20</w:t>
            </w:r>
          </w:p>
        </w:tc>
      </w:tr>
      <w:tr w:rsidR="00DC449A" w:rsidRPr="005A7985" w14:paraId="15202116" w14:textId="77777777" w:rsidTr="00DC449A">
        <w:trPr>
          <w:trHeight w:val="255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AA3F5" w14:textId="77777777" w:rsidR="00DC449A" w:rsidRPr="00AD7815" w:rsidRDefault="00DC449A" w:rsidP="008F2737">
            <w:pPr>
              <w:rPr>
                <w:rFonts w:eastAsia="Times New Roman"/>
                <w:b/>
                <w:bCs/>
                <w:color w:val="FFFFFF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/>
                <w:lang w:eastAsia="fr-CH"/>
              </w:rPr>
              <w:t>Tool5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0EEA7" w14:textId="77777777" w:rsidR="00DC449A" w:rsidRPr="00AD7815" w:rsidRDefault="00DC449A" w:rsidP="008F2737">
            <w:pPr>
              <w:jc w:val="center"/>
              <w:rPr>
                <w:rFonts w:eastAsia="Times New Roman"/>
                <w:b/>
                <w:bCs/>
                <w:color w:val="FFFFFF" w:themeColor="background1"/>
                <w:lang w:eastAsia="fr-CH"/>
              </w:rPr>
            </w:pPr>
            <w:r w:rsidRPr="005A7985">
              <w:rPr>
                <w:rFonts w:eastAsia="Times New Roman"/>
                <w:b/>
                <w:bCs/>
                <w:color w:val="FFFFFF" w:themeColor="background1"/>
                <w:lang w:eastAsia="fr-CH"/>
              </w:rPr>
              <w:t>V1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783A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4:20:09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110C6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2,269.20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D759D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3:58:47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5E146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5,642.90</w:t>
            </w:r>
          </w:p>
        </w:tc>
      </w:tr>
      <w:tr w:rsidR="00DC449A" w:rsidRPr="005A7985" w14:paraId="44F5243A" w14:textId="77777777" w:rsidTr="00DC449A">
        <w:trPr>
          <w:trHeight w:val="255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1F6C7" w14:textId="77777777" w:rsidR="00DC449A" w:rsidRPr="00AD7815" w:rsidRDefault="00DC449A" w:rsidP="008F2737">
            <w:pPr>
              <w:jc w:val="right"/>
              <w:rPr>
                <w:rFonts w:eastAsia="Times New Roman"/>
                <w:lang w:eastAsia="fr-CH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4E318" w14:textId="77777777" w:rsidR="00DC449A" w:rsidRPr="00AD7815" w:rsidRDefault="00DC449A" w:rsidP="008F2737">
            <w:pPr>
              <w:jc w:val="center"/>
              <w:rPr>
                <w:rFonts w:eastAsia="Times New Roman"/>
                <w:b/>
                <w:color w:val="FFFFFF" w:themeColor="background1"/>
                <w:lang w:eastAsia="fr-CH"/>
              </w:rPr>
            </w:pPr>
            <w:r w:rsidRPr="005A7985">
              <w:rPr>
                <w:rFonts w:eastAsia="Times New Roman"/>
                <w:b/>
                <w:color w:val="FFFFFF" w:themeColor="background1"/>
                <w:lang w:eastAsia="fr-CH"/>
              </w:rPr>
              <w:t>V2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8EF67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6:46:54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51A88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2,713.30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7C4A0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7:45:14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EF336" w14:textId="77777777" w:rsidR="00DC449A" w:rsidRPr="00AD7815" w:rsidRDefault="00DC449A" w:rsidP="008F2737">
            <w:pPr>
              <w:jc w:val="center"/>
              <w:rPr>
                <w:rFonts w:eastAsia="Times New Roman"/>
                <w:lang w:eastAsia="fr-CH"/>
              </w:rPr>
            </w:pPr>
            <w:r w:rsidRPr="00AD7815">
              <w:rPr>
                <w:rFonts w:eastAsia="Times New Roman"/>
                <w:lang w:eastAsia="fr-CH"/>
              </w:rPr>
              <w:t>5,906.80</w:t>
            </w:r>
          </w:p>
        </w:tc>
      </w:tr>
    </w:tbl>
    <w:p w14:paraId="2601F882" w14:textId="77777777" w:rsidR="00DC449A" w:rsidRDefault="00DC449A" w:rsidP="00AA2ED5">
      <w:pPr>
        <w:jc w:val="both"/>
        <w:rPr>
          <w:lang w:val="en-US"/>
        </w:rPr>
      </w:pPr>
    </w:p>
    <w:p w14:paraId="7E54A85C" w14:textId="4782AC44" w:rsidR="00DC449A" w:rsidRPr="00DC449A" w:rsidRDefault="00DC449A" w:rsidP="00DC449A">
      <w:pPr>
        <w:pStyle w:val="Caption"/>
        <w:jc w:val="center"/>
        <w:rPr>
          <w:sz w:val="24"/>
          <w:szCs w:val="24"/>
          <w:lang w:val="en-US"/>
        </w:rPr>
      </w:pPr>
      <w:bookmarkStart w:id="12" w:name="_Ref444305972"/>
      <w:r w:rsidRPr="00DC449A">
        <w:rPr>
          <w:sz w:val="24"/>
          <w:szCs w:val="24"/>
        </w:rPr>
        <w:t xml:space="preserve">Table </w:t>
      </w:r>
      <w:r w:rsidRPr="00DC449A">
        <w:rPr>
          <w:sz w:val="24"/>
          <w:szCs w:val="24"/>
        </w:rPr>
        <w:fldChar w:fldCharType="begin"/>
      </w:r>
      <w:r w:rsidRPr="00DC449A">
        <w:rPr>
          <w:sz w:val="24"/>
          <w:szCs w:val="24"/>
        </w:rPr>
        <w:instrText xml:space="preserve"> SEQ Table \* ARABIC </w:instrText>
      </w:r>
      <w:r w:rsidRPr="00DC449A">
        <w:rPr>
          <w:sz w:val="24"/>
          <w:szCs w:val="24"/>
        </w:rPr>
        <w:fldChar w:fldCharType="separate"/>
      </w:r>
      <w:r w:rsidR="001F2E6A">
        <w:rPr>
          <w:noProof/>
          <w:sz w:val="24"/>
          <w:szCs w:val="24"/>
        </w:rPr>
        <w:t>2</w:t>
      </w:r>
      <w:r w:rsidRPr="00DC449A">
        <w:rPr>
          <w:sz w:val="24"/>
          <w:szCs w:val="24"/>
        </w:rPr>
        <w:fldChar w:fldCharType="end"/>
      </w:r>
      <w:bookmarkEnd w:id="12"/>
      <w:r w:rsidRPr="00DC449A">
        <w:rPr>
          <w:sz w:val="24"/>
          <w:szCs w:val="24"/>
        </w:rPr>
        <w:t xml:space="preserve"> - Tools performance for the compression of a </w:t>
      </w:r>
      <w:r>
        <w:rPr>
          <w:sz w:val="24"/>
          <w:szCs w:val="24"/>
        </w:rPr>
        <w:t xml:space="preserve">SAM </w:t>
      </w:r>
      <w:r w:rsidRPr="00DC449A">
        <w:rPr>
          <w:sz w:val="24"/>
          <w:szCs w:val="24"/>
        </w:rPr>
        <w:t xml:space="preserve">file of </w:t>
      </w:r>
      <w:r>
        <w:rPr>
          <w:sz w:val="24"/>
          <w:szCs w:val="24"/>
        </w:rPr>
        <w:t>589</w:t>
      </w:r>
      <w:r w:rsidRPr="00DC449A">
        <w:rPr>
          <w:sz w:val="24"/>
          <w:szCs w:val="24"/>
        </w:rPr>
        <w:t xml:space="preserve"> GB (</w:t>
      </w:r>
      <w:r>
        <w:rPr>
          <w:sz w:val="24"/>
          <w:szCs w:val="24"/>
        </w:rPr>
        <w:t>SAM file decoded from NA12878_S1.bam</w:t>
      </w:r>
      <w:r w:rsidRPr="00DC449A">
        <w:rPr>
          <w:sz w:val="24"/>
          <w:szCs w:val="24"/>
        </w:rPr>
        <w:t>)</w:t>
      </w:r>
    </w:p>
    <w:p w14:paraId="44B75BEC" w14:textId="4C629E03" w:rsidR="00DC449A" w:rsidRPr="00974C61" w:rsidRDefault="00DC449A" w:rsidP="00DC449A">
      <w:pPr>
        <w:pStyle w:val="Caption"/>
        <w:rPr>
          <w:lang w:val="en-US"/>
        </w:rPr>
      </w:pPr>
    </w:p>
    <w:p w14:paraId="4276728B" w14:textId="00A982E7" w:rsidR="000939C4" w:rsidRDefault="000939C4" w:rsidP="000939C4">
      <w:pPr>
        <w:pStyle w:val="Heading1"/>
        <w:rPr>
          <w:lang w:val="en-US"/>
        </w:rPr>
      </w:pPr>
      <w:bookmarkStart w:id="13" w:name="_Toc444306462"/>
      <w:r>
        <w:rPr>
          <w:lang w:val="en-US"/>
        </w:rPr>
        <w:lastRenderedPageBreak/>
        <w:t>Conclusions</w:t>
      </w:r>
      <w:bookmarkEnd w:id="13"/>
    </w:p>
    <w:p w14:paraId="69D6109E" w14:textId="5823AD5A" w:rsidR="000B676D" w:rsidRDefault="00AD10F6" w:rsidP="000B676D">
      <w:pPr>
        <w:jc w:val="both"/>
        <w:rPr>
          <w:lang w:val="en-US"/>
        </w:rPr>
      </w:pPr>
      <w:r>
        <w:rPr>
          <w:lang w:val="en-US"/>
        </w:rPr>
        <w:t>One conclusion of this activity is that</w:t>
      </w:r>
      <w:r w:rsidR="000B676D">
        <w:rPr>
          <w:lang w:val="en-US"/>
        </w:rPr>
        <w:t xml:space="preserve"> </w:t>
      </w:r>
      <w:r w:rsidR="00861245">
        <w:rPr>
          <w:lang w:val="en-US"/>
        </w:rPr>
        <w:t>a</w:t>
      </w:r>
      <w:r w:rsidR="000B676D">
        <w:rPr>
          <w:lang w:val="en-US"/>
        </w:rPr>
        <w:t>ll tools have different performances for the 4 classes of data. By integrati</w:t>
      </w:r>
      <w:r w:rsidR="00245481">
        <w:rPr>
          <w:lang w:val="en-US"/>
        </w:rPr>
        <w:t>ng</w:t>
      </w:r>
      <w:r w:rsidR="000B676D">
        <w:rPr>
          <w:lang w:val="en-US"/>
        </w:rPr>
        <w:t xml:space="preserve"> multiple tools it is possible to improve the compression of up to 27% with respect to the best state-of-the-art tool. During the time </w:t>
      </w:r>
      <w:r w:rsidR="00245481">
        <w:rPr>
          <w:lang w:val="en-US"/>
        </w:rPr>
        <w:t>frame</w:t>
      </w:r>
      <w:r w:rsidR="000B676D">
        <w:rPr>
          <w:lang w:val="en-US"/>
        </w:rPr>
        <w:t xml:space="preserve"> of the </w:t>
      </w:r>
      <w:proofErr w:type="spellStart"/>
      <w:r w:rsidR="000B676D">
        <w:rPr>
          <w:lang w:val="en-US"/>
        </w:rPr>
        <w:t>CfE</w:t>
      </w:r>
      <w:proofErr w:type="spellEnd"/>
      <w:r w:rsidR="000B676D">
        <w:rPr>
          <w:lang w:val="en-US"/>
        </w:rPr>
        <w:t>, existing tools as well as new tools improved the obtainable compression factors by about 4%.</w:t>
      </w:r>
    </w:p>
    <w:p w14:paraId="24AE5691" w14:textId="001B1D97" w:rsidR="00D443A8" w:rsidRDefault="000B676D" w:rsidP="00D443A8">
      <w:pPr>
        <w:jc w:val="both"/>
        <w:rPr>
          <w:lang w:val="en-US"/>
        </w:rPr>
      </w:pPr>
      <w:r>
        <w:rPr>
          <w:lang w:val="en-US"/>
        </w:rPr>
        <w:t>Results d</w:t>
      </w:r>
      <w:r w:rsidRPr="001F3BEA">
        <w:rPr>
          <w:lang w:val="en-US"/>
        </w:rPr>
        <w:t>emonstrat</w:t>
      </w:r>
      <w:r>
        <w:rPr>
          <w:lang w:val="en-US"/>
        </w:rPr>
        <w:t>e</w:t>
      </w:r>
      <w:r w:rsidRPr="001F3BEA">
        <w:rPr>
          <w:lang w:val="en-US"/>
        </w:rPr>
        <w:t xml:space="preserve"> the possibility to achieve compression rates above the state of the art through </w:t>
      </w:r>
      <w:r>
        <w:rPr>
          <w:lang w:val="en-US"/>
        </w:rPr>
        <w:t xml:space="preserve">the combination of </w:t>
      </w:r>
      <w:r w:rsidRPr="001F3BEA">
        <w:rPr>
          <w:lang w:val="en-US"/>
        </w:rPr>
        <w:t xml:space="preserve">new </w:t>
      </w:r>
      <w:r>
        <w:rPr>
          <w:lang w:val="en-US"/>
        </w:rPr>
        <w:t>and improved algorithms.</w:t>
      </w:r>
    </w:p>
    <w:p w14:paraId="5654F9B8" w14:textId="6FDAD3B6" w:rsidR="00022BA8" w:rsidRDefault="00245481" w:rsidP="00D443A8">
      <w:pPr>
        <w:jc w:val="both"/>
        <w:rPr>
          <w:lang w:val="en-US"/>
        </w:rPr>
      </w:pPr>
      <w:r>
        <w:rPr>
          <w:lang w:val="en-US"/>
        </w:rPr>
        <w:t>Technology is therefore mature enough to move forward and issue a Call for Proposals at the next MPEG meeting in Geneva (30</w:t>
      </w:r>
      <w:r w:rsidRPr="00245481">
        <w:rPr>
          <w:vertAlign w:val="superscript"/>
          <w:lang w:val="en-US"/>
        </w:rPr>
        <w:t>th</w:t>
      </w:r>
      <w:r>
        <w:rPr>
          <w:lang w:val="en-US"/>
        </w:rPr>
        <w:t xml:space="preserve"> May – 3</w:t>
      </w:r>
      <w:r w:rsidRPr="00245481">
        <w:rPr>
          <w:vertAlign w:val="superscript"/>
          <w:lang w:val="en-US"/>
        </w:rPr>
        <w:t>rd</w:t>
      </w:r>
      <w:r>
        <w:rPr>
          <w:lang w:val="en-US"/>
        </w:rPr>
        <w:t xml:space="preserve"> June 2016)</w:t>
      </w:r>
      <w:r w:rsidR="00612A7F">
        <w:rPr>
          <w:lang w:val="en-US"/>
        </w:rPr>
        <w:t>.</w:t>
      </w:r>
    </w:p>
    <w:p w14:paraId="14FCEEE0" w14:textId="1FF9BF09" w:rsidR="00022BA8" w:rsidRDefault="00022BA8" w:rsidP="00022BA8">
      <w:pPr>
        <w:pStyle w:val="Heading1"/>
        <w:rPr>
          <w:lang w:val="en-US"/>
        </w:rPr>
      </w:pPr>
      <w:bookmarkStart w:id="14" w:name="_Toc444306463"/>
      <w:r>
        <w:rPr>
          <w:lang w:val="en-US"/>
        </w:rPr>
        <w:t>Acknowledgements</w:t>
      </w:r>
      <w:bookmarkEnd w:id="14"/>
    </w:p>
    <w:p w14:paraId="4B227FB4" w14:textId="34270AC4" w:rsidR="00022BA8" w:rsidRPr="00022BA8" w:rsidRDefault="00F50B02" w:rsidP="00F50B02">
      <w:pPr>
        <w:jc w:val="both"/>
        <w:rPr>
          <w:lang w:val="en-US"/>
        </w:rPr>
      </w:pPr>
      <w:r>
        <w:rPr>
          <w:lang w:val="en-US"/>
        </w:rPr>
        <w:t xml:space="preserve">MPEG would like to thank Simon Fraser University, the </w:t>
      </w: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 Sanger Trust Institute, the M.I.T., Stanford University, Leibniz </w:t>
      </w:r>
      <w:proofErr w:type="spellStart"/>
      <w:r>
        <w:rPr>
          <w:lang w:val="en-US"/>
        </w:rPr>
        <w:t>Universität</w:t>
      </w:r>
      <w:proofErr w:type="spellEnd"/>
      <w:r>
        <w:rPr>
          <w:lang w:val="en-US"/>
        </w:rPr>
        <w:t xml:space="preserve"> Hannover and EPFL for submitting technology and contributing to the evaluation.</w:t>
      </w:r>
    </w:p>
    <w:bookmarkStart w:id="15" w:name="_Toc444306464" w:displacedByCustomXml="next"/>
    <w:sdt>
      <w:sdtPr>
        <w:rPr>
          <w:rFonts w:cs="Times New Roman"/>
          <w:b w:val="0"/>
          <w:bCs w:val="0"/>
          <w:kern w:val="0"/>
          <w:sz w:val="24"/>
          <w:szCs w:val="24"/>
        </w:rPr>
        <w:id w:val="-1674254864"/>
        <w:docPartObj>
          <w:docPartGallery w:val="Bibliographies"/>
          <w:docPartUnique/>
        </w:docPartObj>
      </w:sdtPr>
      <w:sdtEndPr/>
      <w:sdtContent>
        <w:p w14:paraId="4DADB725" w14:textId="2B17E0E0" w:rsidR="00F50B02" w:rsidRDefault="00F50B02">
          <w:pPr>
            <w:pStyle w:val="Heading1"/>
          </w:pPr>
          <w:r>
            <w:t>References</w:t>
          </w:r>
          <w:bookmarkEnd w:id="15"/>
        </w:p>
        <w:sdt>
          <w:sdtPr>
            <w:id w:val="-143202919"/>
            <w:bibliography/>
          </w:sdtPr>
          <w:sdtEndPr/>
          <w:sdtContent>
            <w:p w14:paraId="5F4C94E2" w14:textId="77777777" w:rsidR="001F2E6A" w:rsidRDefault="00F50B02">
              <w:pPr>
                <w:rPr>
                  <w:rFonts w:eastAsia="MS Mincho"/>
                  <w:noProof/>
                  <w:sz w:val="20"/>
                  <w:szCs w:val="20"/>
                  <w:lang w:val="en-US" w:eastAsia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9090"/>
              </w:tblGrid>
              <w:tr w:rsidR="001F2E6A" w14:paraId="63A97482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90FB50E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AA193A2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MPEG Requirements, “ISO/IEC JTC 1/SC 29/WG 11 MPEG2015/N15740 - Call for Evidence on Genome Compression and Storage,” Geneva, 2015. </w:t>
                    </w:r>
                  </w:p>
                </w:tc>
              </w:tr>
              <w:tr w:rsidR="001F2E6A" w14:paraId="1111F63A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6E78414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AC2DFD7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MPEG Requirements, “ISO/IEC JTC 1/SC 29/WG 11 MPEG2016/N16145 - Database for Evaluation of Genome Compression and Storage,” San Diego, 2016. </w:t>
                    </w:r>
                  </w:p>
                </w:tc>
              </w:tr>
              <w:tr w:rsidR="001F2E6A" w14:paraId="1F224145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91FCE9B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4611B5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MPEG Requirements, “ISO/IEC JTC 1/SC 29/WG 11 MPEG2014/N14553 - Issues in genome compression and storage,” Sapporo, 2014. </w:t>
                    </w:r>
                  </w:p>
                </w:tc>
              </w:tr>
              <w:tr w:rsidR="001F2E6A" w14:paraId="256644C2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02EB8DB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B76534C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R. Canovas, A. Moffat and A. Turpin, “Lossy compression of quality scores in genomic data,” </w:t>
                    </w:r>
                    <w:r>
                      <w:rPr>
                        <w:i/>
                        <w:iCs/>
                        <w:noProof/>
                      </w:rPr>
                      <w:t xml:space="preserve">Bioinformatics, </w:t>
                    </w:r>
                    <w:r>
                      <w:rPr>
                        <w:noProof/>
                      </w:rPr>
                      <w:t xml:space="preserve">vol. 30, no. 15, pp. 2130-2136, 2014. </w:t>
                    </w:r>
                  </w:p>
                </w:tc>
              </w:tr>
              <w:tr w:rsidR="001F2E6A" w14:paraId="0026EF16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F68868A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7FE4196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M. Hernaez, I. Ochoa, R. Goldfeder, T. Weissman and E. Ashley, “Effect of lossy compression of quality scores on SNP,” </w:t>
                    </w:r>
                    <w:r>
                      <w:rPr>
                        <w:i/>
                        <w:iCs/>
                        <w:noProof/>
                      </w:rPr>
                      <w:t xml:space="preserve">Biorxiv, </w:t>
                    </w:r>
                    <w:r>
                      <w:rPr>
                        <w:noProof/>
                      </w:rPr>
                      <w:t xml:space="preserve">2015. </w:t>
                    </w:r>
                  </w:p>
                </w:tc>
              </w:tr>
              <w:tr w:rsidR="001F2E6A" w14:paraId="459802A3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0AEDF6E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FBE60E4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D. Kahn, “On the Future of Genomic Data,” </w:t>
                    </w:r>
                    <w:r>
                      <w:rPr>
                        <w:i/>
                        <w:iCs/>
                        <w:noProof/>
                      </w:rPr>
                      <w:t xml:space="preserve">Science, </w:t>
                    </w:r>
                    <w:r>
                      <w:rPr>
                        <w:noProof/>
                      </w:rPr>
                      <w:t xml:space="preserve">vol. 331, pp. 728-729, 2011. </w:t>
                    </w:r>
                  </w:p>
                </w:tc>
              </w:tr>
              <w:tr w:rsidR="001F2E6A" w14:paraId="6F3F0616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3AA1222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E86AA45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Z. D. Stephens, S. Y. Lee, F. Faghri, R. H. Campbell, C. Zhai, M. J. Efron and G. E. Robinson, “Big Data: Astronomical or Genomical?,” </w:t>
                    </w:r>
                    <w:r>
                      <w:rPr>
                        <w:i/>
                        <w:iCs/>
                        <w:noProof/>
                      </w:rPr>
                      <w:t xml:space="preserve">PLOS Biology, </w:t>
                    </w:r>
                    <w:r>
                      <w:rPr>
                        <w:noProof/>
                      </w:rPr>
                      <w:t xml:space="preserve">2015. </w:t>
                    </w:r>
                  </w:p>
                </w:tc>
              </w:tr>
              <w:tr w:rsidR="001F2E6A" w14:paraId="11BB2DC9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FD95ED8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1187131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MPEG Requirements, “ISO/IEC JTC 1/SC 29/WG 11 MPEG2016/N15XXX - Results of the Call for Evidence on Genome Compression and Storage,” San Diego, 2016. </w:t>
                    </w:r>
                  </w:p>
                </w:tc>
              </w:tr>
              <w:tr w:rsidR="001F2E6A" w14:paraId="62DF172E" w14:textId="77777777">
                <w:trPr>
                  <w:divId w:val="1263994257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4D82859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390BE3F" w14:textId="77777777" w:rsidR="001F2E6A" w:rsidRDefault="001F2E6A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MPEG Requirements, “ISO/IEC JTC 1/SC 29/WG 11 MPEG2016/N15XXX - Evauation Criteria of the Call for Proposals on Genome Compression and Storage,” San Diego, 2016. </w:t>
                    </w:r>
                  </w:p>
                </w:tc>
              </w:tr>
            </w:tbl>
            <w:p w14:paraId="23892491" w14:textId="77777777" w:rsidR="001F2E6A" w:rsidRDefault="001F2E6A">
              <w:pPr>
                <w:divId w:val="1263994257"/>
                <w:rPr>
                  <w:rFonts w:eastAsia="Times New Roman"/>
                  <w:noProof/>
                </w:rPr>
              </w:pPr>
            </w:p>
            <w:p w14:paraId="1C57E348" w14:textId="458F7211" w:rsidR="00F50B02" w:rsidRDefault="00F50B0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F50B02" w:rsidSect="00994619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EBAE" w14:textId="77777777" w:rsidR="00D06FB1" w:rsidRDefault="00D06FB1" w:rsidP="0081350F">
      <w:r>
        <w:separator/>
      </w:r>
    </w:p>
  </w:endnote>
  <w:endnote w:type="continuationSeparator" w:id="0">
    <w:p w14:paraId="6C64669A" w14:textId="77777777" w:rsidR="00D06FB1" w:rsidRDefault="00D06FB1" w:rsidP="008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DA45" w14:textId="77777777" w:rsidR="00D06FB1" w:rsidRDefault="00D06FB1" w:rsidP="0081350F">
      <w:r>
        <w:separator/>
      </w:r>
    </w:p>
  </w:footnote>
  <w:footnote w:type="continuationSeparator" w:id="0">
    <w:p w14:paraId="1B5CD7CA" w14:textId="77777777" w:rsidR="00D06FB1" w:rsidRDefault="00D06FB1" w:rsidP="0081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44553EC9"/>
    <w:multiLevelType w:val="hybridMultilevel"/>
    <w:tmpl w:val="CC3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4E523F"/>
    <w:multiLevelType w:val="hybridMultilevel"/>
    <w:tmpl w:val="255A686A"/>
    <w:lvl w:ilvl="0" w:tplc="57689FCE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F2"/>
    <w:rsid w:val="000004F4"/>
    <w:rsid w:val="00002217"/>
    <w:rsid w:val="000038BC"/>
    <w:rsid w:val="00003A89"/>
    <w:rsid w:val="00006AD3"/>
    <w:rsid w:val="00010F49"/>
    <w:rsid w:val="00014DC1"/>
    <w:rsid w:val="0001512E"/>
    <w:rsid w:val="00020C69"/>
    <w:rsid w:val="00022BA8"/>
    <w:rsid w:val="0002499C"/>
    <w:rsid w:val="00030AD0"/>
    <w:rsid w:val="00032A0E"/>
    <w:rsid w:val="000360D3"/>
    <w:rsid w:val="00040799"/>
    <w:rsid w:val="00042B9F"/>
    <w:rsid w:val="00045D8C"/>
    <w:rsid w:val="000477FE"/>
    <w:rsid w:val="00057DA2"/>
    <w:rsid w:val="0006001F"/>
    <w:rsid w:val="0006025C"/>
    <w:rsid w:val="000625EB"/>
    <w:rsid w:val="00064720"/>
    <w:rsid w:val="00070103"/>
    <w:rsid w:val="000778F8"/>
    <w:rsid w:val="00080DAC"/>
    <w:rsid w:val="000913CB"/>
    <w:rsid w:val="000939C4"/>
    <w:rsid w:val="00093F5A"/>
    <w:rsid w:val="000A2640"/>
    <w:rsid w:val="000A61D2"/>
    <w:rsid w:val="000A6318"/>
    <w:rsid w:val="000B676D"/>
    <w:rsid w:val="000C19A4"/>
    <w:rsid w:val="000C5808"/>
    <w:rsid w:val="000D1DFB"/>
    <w:rsid w:val="000D58DC"/>
    <w:rsid w:val="000E4CCC"/>
    <w:rsid w:val="000E5055"/>
    <w:rsid w:val="000E6AA6"/>
    <w:rsid w:val="000F0506"/>
    <w:rsid w:val="000F5DAC"/>
    <w:rsid w:val="000F7591"/>
    <w:rsid w:val="00104DD9"/>
    <w:rsid w:val="001141F6"/>
    <w:rsid w:val="001176A7"/>
    <w:rsid w:val="00121508"/>
    <w:rsid w:val="00122C2E"/>
    <w:rsid w:val="00124211"/>
    <w:rsid w:val="00124CEF"/>
    <w:rsid w:val="00125F4E"/>
    <w:rsid w:val="001302B6"/>
    <w:rsid w:val="0013302C"/>
    <w:rsid w:val="001331F7"/>
    <w:rsid w:val="00133549"/>
    <w:rsid w:val="001347D5"/>
    <w:rsid w:val="00134963"/>
    <w:rsid w:val="00135184"/>
    <w:rsid w:val="00146509"/>
    <w:rsid w:val="001471BA"/>
    <w:rsid w:val="00147B9C"/>
    <w:rsid w:val="00150931"/>
    <w:rsid w:val="001676B9"/>
    <w:rsid w:val="001704C6"/>
    <w:rsid w:val="00171211"/>
    <w:rsid w:val="00174082"/>
    <w:rsid w:val="0017476B"/>
    <w:rsid w:val="00181BB2"/>
    <w:rsid w:val="00184896"/>
    <w:rsid w:val="00187214"/>
    <w:rsid w:val="0019123B"/>
    <w:rsid w:val="001920B7"/>
    <w:rsid w:val="00195BA6"/>
    <w:rsid w:val="001A13E2"/>
    <w:rsid w:val="001A1F64"/>
    <w:rsid w:val="001A251E"/>
    <w:rsid w:val="001A2D41"/>
    <w:rsid w:val="001A60D5"/>
    <w:rsid w:val="001A77B5"/>
    <w:rsid w:val="001B194A"/>
    <w:rsid w:val="001C122D"/>
    <w:rsid w:val="001C1B03"/>
    <w:rsid w:val="001C2B74"/>
    <w:rsid w:val="001C4CCD"/>
    <w:rsid w:val="001C52FF"/>
    <w:rsid w:val="001D56A9"/>
    <w:rsid w:val="001E4B8A"/>
    <w:rsid w:val="001E6EEC"/>
    <w:rsid w:val="001F2E6A"/>
    <w:rsid w:val="001F3BEA"/>
    <w:rsid w:val="001F3C5D"/>
    <w:rsid w:val="00201672"/>
    <w:rsid w:val="00204FA4"/>
    <w:rsid w:val="00221F51"/>
    <w:rsid w:val="00245481"/>
    <w:rsid w:val="0024588F"/>
    <w:rsid w:val="00245E49"/>
    <w:rsid w:val="00250317"/>
    <w:rsid w:val="00250AB3"/>
    <w:rsid w:val="00261F95"/>
    <w:rsid w:val="00265EF8"/>
    <w:rsid w:val="0027089D"/>
    <w:rsid w:val="00272D6B"/>
    <w:rsid w:val="002739A4"/>
    <w:rsid w:val="0027463F"/>
    <w:rsid w:val="0027589A"/>
    <w:rsid w:val="0027686D"/>
    <w:rsid w:val="00277005"/>
    <w:rsid w:val="002811A3"/>
    <w:rsid w:val="002869A6"/>
    <w:rsid w:val="00286C15"/>
    <w:rsid w:val="0028710D"/>
    <w:rsid w:val="00295DFD"/>
    <w:rsid w:val="002A5664"/>
    <w:rsid w:val="002A5A05"/>
    <w:rsid w:val="002A6BFB"/>
    <w:rsid w:val="002B041D"/>
    <w:rsid w:val="002B04A6"/>
    <w:rsid w:val="002B2FD2"/>
    <w:rsid w:val="002C7F0F"/>
    <w:rsid w:val="002D5BA5"/>
    <w:rsid w:val="002D7993"/>
    <w:rsid w:val="002E02B6"/>
    <w:rsid w:val="003044F2"/>
    <w:rsid w:val="0030631B"/>
    <w:rsid w:val="00310C21"/>
    <w:rsid w:val="00317A4B"/>
    <w:rsid w:val="00325719"/>
    <w:rsid w:val="00325BDF"/>
    <w:rsid w:val="0033190F"/>
    <w:rsid w:val="00347057"/>
    <w:rsid w:val="00350172"/>
    <w:rsid w:val="00350B4E"/>
    <w:rsid w:val="003573DE"/>
    <w:rsid w:val="0036721F"/>
    <w:rsid w:val="00373451"/>
    <w:rsid w:val="00374F91"/>
    <w:rsid w:val="00385EA4"/>
    <w:rsid w:val="00391E9B"/>
    <w:rsid w:val="00396816"/>
    <w:rsid w:val="00396830"/>
    <w:rsid w:val="003976B4"/>
    <w:rsid w:val="003A0B84"/>
    <w:rsid w:val="003A24B2"/>
    <w:rsid w:val="003A3079"/>
    <w:rsid w:val="003A3207"/>
    <w:rsid w:val="003A7C48"/>
    <w:rsid w:val="003C0AEC"/>
    <w:rsid w:val="003C2BAB"/>
    <w:rsid w:val="003C7AB6"/>
    <w:rsid w:val="003D4806"/>
    <w:rsid w:val="003D5FB6"/>
    <w:rsid w:val="003E1E52"/>
    <w:rsid w:val="003F12C5"/>
    <w:rsid w:val="003F6E4A"/>
    <w:rsid w:val="00400239"/>
    <w:rsid w:val="0040230E"/>
    <w:rsid w:val="00403CB3"/>
    <w:rsid w:val="00406247"/>
    <w:rsid w:val="00406BFA"/>
    <w:rsid w:val="004070C3"/>
    <w:rsid w:val="0040751A"/>
    <w:rsid w:val="0041116D"/>
    <w:rsid w:val="00422044"/>
    <w:rsid w:val="00422822"/>
    <w:rsid w:val="00425379"/>
    <w:rsid w:val="00426E8E"/>
    <w:rsid w:val="00433DF9"/>
    <w:rsid w:val="00434ADB"/>
    <w:rsid w:val="00441368"/>
    <w:rsid w:val="0044505B"/>
    <w:rsid w:val="00453D3E"/>
    <w:rsid w:val="00462D9A"/>
    <w:rsid w:val="0046449E"/>
    <w:rsid w:val="004676B6"/>
    <w:rsid w:val="00467971"/>
    <w:rsid w:val="0047210E"/>
    <w:rsid w:val="004726B1"/>
    <w:rsid w:val="00482330"/>
    <w:rsid w:val="004851F3"/>
    <w:rsid w:val="004854F0"/>
    <w:rsid w:val="004A2FBB"/>
    <w:rsid w:val="004A44EF"/>
    <w:rsid w:val="004A5585"/>
    <w:rsid w:val="004C2CF9"/>
    <w:rsid w:val="004C6810"/>
    <w:rsid w:val="004D2FF8"/>
    <w:rsid w:val="004E0C82"/>
    <w:rsid w:val="004E1E01"/>
    <w:rsid w:val="004E5FB5"/>
    <w:rsid w:val="004E7EE1"/>
    <w:rsid w:val="004F0ACC"/>
    <w:rsid w:val="004F189D"/>
    <w:rsid w:val="004F593C"/>
    <w:rsid w:val="00501B4C"/>
    <w:rsid w:val="0050280B"/>
    <w:rsid w:val="00502907"/>
    <w:rsid w:val="0050724D"/>
    <w:rsid w:val="005132BF"/>
    <w:rsid w:val="00516F9C"/>
    <w:rsid w:val="00517B5F"/>
    <w:rsid w:val="00522DA6"/>
    <w:rsid w:val="0052530A"/>
    <w:rsid w:val="0052544E"/>
    <w:rsid w:val="00530018"/>
    <w:rsid w:val="00542EF9"/>
    <w:rsid w:val="0054391B"/>
    <w:rsid w:val="005565BE"/>
    <w:rsid w:val="005567F4"/>
    <w:rsid w:val="00557EDB"/>
    <w:rsid w:val="00565A8C"/>
    <w:rsid w:val="00573821"/>
    <w:rsid w:val="00574298"/>
    <w:rsid w:val="005769BD"/>
    <w:rsid w:val="00585B26"/>
    <w:rsid w:val="00585F50"/>
    <w:rsid w:val="005864ED"/>
    <w:rsid w:val="005869D4"/>
    <w:rsid w:val="00586EF7"/>
    <w:rsid w:val="005A05C0"/>
    <w:rsid w:val="005A1575"/>
    <w:rsid w:val="005A2449"/>
    <w:rsid w:val="005B0C06"/>
    <w:rsid w:val="005B0DB3"/>
    <w:rsid w:val="005B7CBC"/>
    <w:rsid w:val="005C3D51"/>
    <w:rsid w:val="005C42D8"/>
    <w:rsid w:val="005C71F5"/>
    <w:rsid w:val="005D1A6F"/>
    <w:rsid w:val="005D561E"/>
    <w:rsid w:val="005D5664"/>
    <w:rsid w:val="005D7B8A"/>
    <w:rsid w:val="005E1400"/>
    <w:rsid w:val="005E4919"/>
    <w:rsid w:val="005E79B2"/>
    <w:rsid w:val="005F2182"/>
    <w:rsid w:val="0060019F"/>
    <w:rsid w:val="006033AD"/>
    <w:rsid w:val="00606B47"/>
    <w:rsid w:val="006074A9"/>
    <w:rsid w:val="00611FE6"/>
    <w:rsid w:val="00612A7F"/>
    <w:rsid w:val="0061607C"/>
    <w:rsid w:val="00616D31"/>
    <w:rsid w:val="00617649"/>
    <w:rsid w:val="00617714"/>
    <w:rsid w:val="00622CAF"/>
    <w:rsid w:val="00625A92"/>
    <w:rsid w:val="00626D5A"/>
    <w:rsid w:val="006323E5"/>
    <w:rsid w:val="00632565"/>
    <w:rsid w:val="0063664B"/>
    <w:rsid w:val="00640322"/>
    <w:rsid w:val="00643BD9"/>
    <w:rsid w:val="00650327"/>
    <w:rsid w:val="00650C9A"/>
    <w:rsid w:val="00660793"/>
    <w:rsid w:val="00663A23"/>
    <w:rsid w:val="006676B5"/>
    <w:rsid w:val="00672CF6"/>
    <w:rsid w:val="006738C2"/>
    <w:rsid w:val="00685762"/>
    <w:rsid w:val="00686EE6"/>
    <w:rsid w:val="00690D64"/>
    <w:rsid w:val="00695562"/>
    <w:rsid w:val="006A019E"/>
    <w:rsid w:val="006A17A5"/>
    <w:rsid w:val="006A3FA2"/>
    <w:rsid w:val="006B2D08"/>
    <w:rsid w:val="006C66B5"/>
    <w:rsid w:val="006D175A"/>
    <w:rsid w:val="006D358B"/>
    <w:rsid w:val="006D4315"/>
    <w:rsid w:val="006D45BB"/>
    <w:rsid w:val="006D5C63"/>
    <w:rsid w:val="006E0548"/>
    <w:rsid w:val="006E2AB0"/>
    <w:rsid w:val="006E2D0D"/>
    <w:rsid w:val="006E39D9"/>
    <w:rsid w:val="006E3EF3"/>
    <w:rsid w:val="006F0785"/>
    <w:rsid w:val="006F40EB"/>
    <w:rsid w:val="00714A8C"/>
    <w:rsid w:val="00715DF2"/>
    <w:rsid w:val="007173C0"/>
    <w:rsid w:val="007212F6"/>
    <w:rsid w:val="00727E5A"/>
    <w:rsid w:val="00727E88"/>
    <w:rsid w:val="007320EA"/>
    <w:rsid w:val="00737647"/>
    <w:rsid w:val="0074220F"/>
    <w:rsid w:val="0074277F"/>
    <w:rsid w:val="007516D4"/>
    <w:rsid w:val="00753400"/>
    <w:rsid w:val="007546A0"/>
    <w:rsid w:val="0076256C"/>
    <w:rsid w:val="00762AE1"/>
    <w:rsid w:val="00770292"/>
    <w:rsid w:val="00780913"/>
    <w:rsid w:val="007A0FF7"/>
    <w:rsid w:val="007B7543"/>
    <w:rsid w:val="007C2FE6"/>
    <w:rsid w:val="007C530F"/>
    <w:rsid w:val="007C5F47"/>
    <w:rsid w:val="007D3F7D"/>
    <w:rsid w:val="007D50FF"/>
    <w:rsid w:val="007E15A1"/>
    <w:rsid w:val="007E1CAC"/>
    <w:rsid w:val="007E32AF"/>
    <w:rsid w:val="007E4601"/>
    <w:rsid w:val="007F0DFA"/>
    <w:rsid w:val="007F2E7F"/>
    <w:rsid w:val="007F3FEE"/>
    <w:rsid w:val="007F5148"/>
    <w:rsid w:val="007F6CFB"/>
    <w:rsid w:val="007F7901"/>
    <w:rsid w:val="00805F0B"/>
    <w:rsid w:val="00807904"/>
    <w:rsid w:val="00807ADA"/>
    <w:rsid w:val="00810091"/>
    <w:rsid w:val="00813221"/>
    <w:rsid w:val="0081350F"/>
    <w:rsid w:val="0081555E"/>
    <w:rsid w:val="00816A77"/>
    <w:rsid w:val="008177EE"/>
    <w:rsid w:val="008236E6"/>
    <w:rsid w:val="00824C42"/>
    <w:rsid w:val="008312FD"/>
    <w:rsid w:val="008362E7"/>
    <w:rsid w:val="008504A2"/>
    <w:rsid w:val="00852160"/>
    <w:rsid w:val="008540D6"/>
    <w:rsid w:val="00856680"/>
    <w:rsid w:val="00857533"/>
    <w:rsid w:val="00861245"/>
    <w:rsid w:val="0086455B"/>
    <w:rsid w:val="00865788"/>
    <w:rsid w:val="0086691E"/>
    <w:rsid w:val="00875139"/>
    <w:rsid w:val="008757DF"/>
    <w:rsid w:val="00887E3F"/>
    <w:rsid w:val="00892954"/>
    <w:rsid w:val="0089545F"/>
    <w:rsid w:val="008974B0"/>
    <w:rsid w:val="008A0EF4"/>
    <w:rsid w:val="008A47C3"/>
    <w:rsid w:val="008A6214"/>
    <w:rsid w:val="008B1D82"/>
    <w:rsid w:val="008B3378"/>
    <w:rsid w:val="008B553A"/>
    <w:rsid w:val="008B6CA7"/>
    <w:rsid w:val="008D2940"/>
    <w:rsid w:val="008D63C4"/>
    <w:rsid w:val="008D6636"/>
    <w:rsid w:val="008E1D6F"/>
    <w:rsid w:val="008E2AD5"/>
    <w:rsid w:val="008E3896"/>
    <w:rsid w:val="008E7E59"/>
    <w:rsid w:val="008F3624"/>
    <w:rsid w:val="008F5CEC"/>
    <w:rsid w:val="008F6438"/>
    <w:rsid w:val="00903750"/>
    <w:rsid w:val="00911052"/>
    <w:rsid w:val="009156C9"/>
    <w:rsid w:val="00915EE0"/>
    <w:rsid w:val="0091630B"/>
    <w:rsid w:val="009210EA"/>
    <w:rsid w:val="009264CB"/>
    <w:rsid w:val="0093098B"/>
    <w:rsid w:val="00930EF2"/>
    <w:rsid w:val="009315F3"/>
    <w:rsid w:val="00937076"/>
    <w:rsid w:val="00942FA1"/>
    <w:rsid w:val="009438F9"/>
    <w:rsid w:val="009502E5"/>
    <w:rsid w:val="00951E3B"/>
    <w:rsid w:val="00953613"/>
    <w:rsid w:val="0095414D"/>
    <w:rsid w:val="00954D98"/>
    <w:rsid w:val="009553EA"/>
    <w:rsid w:val="00960084"/>
    <w:rsid w:val="00961879"/>
    <w:rsid w:val="00964C27"/>
    <w:rsid w:val="00972379"/>
    <w:rsid w:val="00974C61"/>
    <w:rsid w:val="00975FE7"/>
    <w:rsid w:val="00976358"/>
    <w:rsid w:val="0097742E"/>
    <w:rsid w:val="009807E3"/>
    <w:rsid w:val="00981C36"/>
    <w:rsid w:val="00986712"/>
    <w:rsid w:val="00994619"/>
    <w:rsid w:val="0099638F"/>
    <w:rsid w:val="009968F8"/>
    <w:rsid w:val="00996ED4"/>
    <w:rsid w:val="009A533A"/>
    <w:rsid w:val="009A53D0"/>
    <w:rsid w:val="009A6BB6"/>
    <w:rsid w:val="009B4DEE"/>
    <w:rsid w:val="009B7467"/>
    <w:rsid w:val="009C2439"/>
    <w:rsid w:val="009C3B82"/>
    <w:rsid w:val="009D0066"/>
    <w:rsid w:val="009D256B"/>
    <w:rsid w:val="009D2F2A"/>
    <w:rsid w:val="009D67CD"/>
    <w:rsid w:val="009E24E0"/>
    <w:rsid w:val="009E5C91"/>
    <w:rsid w:val="009E7843"/>
    <w:rsid w:val="009F559E"/>
    <w:rsid w:val="009F5EE6"/>
    <w:rsid w:val="009F6BC2"/>
    <w:rsid w:val="00A02392"/>
    <w:rsid w:val="00A147C7"/>
    <w:rsid w:val="00A1538C"/>
    <w:rsid w:val="00A16FD7"/>
    <w:rsid w:val="00A20032"/>
    <w:rsid w:val="00A216CE"/>
    <w:rsid w:val="00A235C9"/>
    <w:rsid w:val="00A25160"/>
    <w:rsid w:val="00A267A7"/>
    <w:rsid w:val="00A349A3"/>
    <w:rsid w:val="00A40C18"/>
    <w:rsid w:val="00A42274"/>
    <w:rsid w:val="00A424BC"/>
    <w:rsid w:val="00A431D9"/>
    <w:rsid w:val="00A464AB"/>
    <w:rsid w:val="00A53BCB"/>
    <w:rsid w:val="00A5592C"/>
    <w:rsid w:val="00A56E05"/>
    <w:rsid w:val="00A60BC4"/>
    <w:rsid w:val="00A67154"/>
    <w:rsid w:val="00A70C3D"/>
    <w:rsid w:val="00A72EEA"/>
    <w:rsid w:val="00A740D6"/>
    <w:rsid w:val="00A831EA"/>
    <w:rsid w:val="00A84784"/>
    <w:rsid w:val="00A877C5"/>
    <w:rsid w:val="00A9007A"/>
    <w:rsid w:val="00A948E4"/>
    <w:rsid w:val="00A97C60"/>
    <w:rsid w:val="00AA2ED5"/>
    <w:rsid w:val="00AA6554"/>
    <w:rsid w:val="00AA7246"/>
    <w:rsid w:val="00AA7EED"/>
    <w:rsid w:val="00AB0A71"/>
    <w:rsid w:val="00AB2FC7"/>
    <w:rsid w:val="00AB60EA"/>
    <w:rsid w:val="00AC0AA6"/>
    <w:rsid w:val="00AC46F8"/>
    <w:rsid w:val="00AC5240"/>
    <w:rsid w:val="00AC548D"/>
    <w:rsid w:val="00AD0A37"/>
    <w:rsid w:val="00AD10F6"/>
    <w:rsid w:val="00AD3156"/>
    <w:rsid w:val="00AD5A12"/>
    <w:rsid w:val="00AD6C5B"/>
    <w:rsid w:val="00AE175E"/>
    <w:rsid w:val="00AE5BF6"/>
    <w:rsid w:val="00AE7343"/>
    <w:rsid w:val="00AE7428"/>
    <w:rsid w:val="00AF2F4B"/>
    <w:rsid w:val="00AF4EAC"/>
    <w:rsid w:val="00AF500D"/>
    <w:rsid w:val="00B029AB"/>
    <w:rsid w:val="00B10AB5"/>
    <w:rsid w:val="00B12E14"/>
    <w:rsid w:val="00B13B02"/>
    <w:rsid w:val="00B14DF0"/>
    <w:rsid w:val="00B154B7"/>
    <w:rsid w:val="00B21FC6"/>
    <w:rsid w:val="00B22D13"/>
    <w:rsid w:val="00B32308"/>
    <w:rsid w:val="00B370DC"/>
    <w:rsid w:val="00B42FDC"/>
    <w:rsid w:val="00B45292"/>
    <w:rsid w:val="00B45CC1"/>
    <w:rsid w:val="00B47444"/>
    <w:rsid w:val="00B514B8"/>
    <w:rsid w:val="00B61ACB"/>
    <w:rsid w:val="00B62CD2"/>
    <w:rsid w:val="00B72387"/>
    <w:rsid w:val="00B72C06"/>
    <w:rsid w:val="00B76A0E"/>
    <w:rsid w:val="00B85210"/>
    <w:rsid w:val="00B94999"/>
    <w:rsid w:val="00BA4AAB"/>
    <w:rsid w:val="00BA7254"/>
    <w:rsid w:val="00BB53D3"/>
    <w:rsid w:val="00BC34F1"/>
    <w:rsid w:val="00BC7009"/>
    <w:rsid w:val="00BD4E34"/>
    <w:rsid w:val="00BD6179"/>
    <w:rsid w:val="00BD6684"/>
    <w:rsid w:val="00BE2A31"/>
    <w:rsid w:val="00BF1F6F"/>
    <w:rsid w:val="00BF285D"/>
    <w:rsid w:val="00BF4F4D"/>
    <w:rsid w:val="00BF699E"/>
    <w:rsid w:val="00C00A61"/>
    <w:rsid w:val="00C037D1"/>
    <w:rsid w:val="00C0558B"/>
    <w:rsid w:val="00C10A59"/>
    <w:rsid w:val="00C117CF"/>
    <w:rsid w:val="00C17BE0"/>
    <w:rsid w:val="00C254B9"/>
    <w:rsid w:val="00C31954"/>
    <w:rsid w:val="00C35C06"/>
    <w:rsid w:val="00C35E20"/>
    <w:rsid w:val="00C433F5"/>
    <w:rsid w:val="00C44122"/>
    <w:rsid w:val="00C46EF4"/>
    <w:rsid w:val="00C50BBD"/>
    <w:rsid w:val="00C530BD"/>
    <w:rsid w:val="00C666E8"/>
    <w:rsid w:val="00C70B1A"/>
    <w:rsid w:val="00C733E7"/>
    <w:rsid w:val="00C75CC2"/>
    <w:rsid w:val="00C81B9E"/>
    <w:rsid w:val="00C930D9"/>
    <w:rsid w:val="00C9483D"/>
    <w:rsid w:val="00C94D3F"/>
    <w:rsid w:val="00CA0E4C"/>
    <w:rsid w:val="00CA0E88"/>
    <w:rsid w:val="00CA1BC4"/>
    <w:rsid w:val="00CA1F9E"/>
    <w:rsid w:val="00CA5435"/>
    <w:rsid w:val="00CA66EB"/>
    <w:rsid w:val="00CA7602"/>
    <w:rsid w:val="00CB1316"/>
    <w:rsid w:val="00CB383F"/>
    <w:rsid w:val="00CC1CE8"/>
    <w:rsid w:val="00CC2EA8"/>
    <w:rsid w:val="00CC2F3F"/>
    <w:rsid w:val="00CC52A4"/>
    <w:rsid w:val="00CC654F"/>
    <w:rsid w:val="00CD1263"/>
    <w:rsid w:val="00CD2176"/>
    <w:rsid w:val="00CD22B1"/>
    <w:rsid w:val="00CD2C38"/>
    <w:rsid w:val="00CD2F26"/>
    <w:rsid w:val="00CD4872"/>
    <w:rsid w:val="00CE25B4"/>
    <w:rsid w:val="00CE372E"/>
    <w:rsid w:val="00CF3FD2"/>
    <w:rsid w:val="00CF587A"/>
    <w:rsid w:val="00CF6DE6"/>
    <w:rsid w:val="00D058E8"/>
    <w:rsid w:val="00D06953"/>
    <w:rsid w:val="00D06FB1"/>
    <w:rsid w:val="00D10B16"/>
    <w:rsid w:val="00D13CC4"/>
    <w:rsid w:val="00D14979"/>
    <w:rsid w:val="00D14F0A"/>
    <w:rsid w:val="00D15E90"/>
    <w:rsid w:val="00D15EFB"/>
    <w:rsid w:val="00D1621C"/>
    <w:rsid w:val="00D20036"/>
    <w:rsid w:val="00D22C70"/>
    <w:rsid w:val="00D31854"/>
    <w:rsid w:val="00D32D72"/>
    <w:rsid w:val="00D37718"/>
    <w:rsid w:val="00D443A8"/>
    <w:rsid w:val="00D46F03"/>
    <w:rsid w:val="00D50586"/>
    <w:rsid w:val="00D538BB"/>
    <w:rsid w:val="00D54189"/>
    <w:rsid w:val="00D6054D"/>
    <w:rsid w:val="00D63663"/>
    <w:rsid w:val="00D664D3"/>
    <w:rsid w:val="00D66D9A"/>
    <w:rsid w:val="00D727A9"/>
    <w:rsid w:val="00D72EE3"/>
    <w:rsid w:val="00D74322"/>
    <w:rsid w:val="00D74BAB"/>
    <w:rsid w:val="00D8056B"/>
    <w:rsid w:val="00DA0A51"/>
    <w:rsid w:val="00DA1137"/>
    <w:rsid w:val="00DB3208"/>
    <w:rsid w:val="00DC03DE"/>
    <w:rsid w:val="00DC440C"/>
    <w:rsid w:val="00DC449A"/>
    <w:rsid w:val="00DC590B"/>
    <w:rsid w:val="00DC6D99"/>
    <w:rsid w:val="00DC7747"/>
    <w:rsid w:val="00DD00EE"/>
    <w:rsid w:val="00DD208F"/>
    <w:rsid w:val="00DD43FD"/>
    <w:rsid w:val="00DE55A1"/>
    <w:rsid w:val="00DE663F"/>
    <w:rsid w:val="00DF1394"/>
    <w:rsid w:val="00DF4599"/>
    <w:rsid w:val="00DF4A86"/>
    <w:rsid w:val="00E06288"/>
    <w:rsid w:val="00E07084"/>
    <w:rsid w:val="00E07DA9"/>
    <w:rsid w:val="00E101A3"/>
    <w:rsid w:val="00E3091B"/>
    <w:rsid w:val="00E35D5B"/>
    <w:rsid w:val="00E4182D"/>
    <w:rsid w:val="00E44084"/>
    <w:rsid w:val="00E53271"/>
    <w:rsid w:val="00E547DE"/>
    <w:rsid w:val="00E66F41"/>
    <w:rsid w:val="00E70B63"/>
    <w:rsid w:val="00E745C1"/>
    <w:rsid w:val="00E7789E"/>
    <w:rsid w:val="00E80587"/>
    <w:rsid w:val="00E82434"/>
    <w:rsid w:val="00E835D9"/>
    <w:rsid w:val="00E84CF6"/>
    <w:rsid w:val="00E86AE4"/>
    <w:rsid w:val="00E90211"/>
    <w:rsid w:val="00E92D8D"/>
    <w:rsid w:val="00EA05B9"/>
    <w:rsid w:val="00EA083B"/>
    <w:rsid w:val="00EA197C"/>
    <w:rsid w:val="00EA44F5"/>
    <w:rsid w:val="00EA5591"/>
    <w:rsid w:val="00EA756F"/>
    <w:rsid w:val="00EB3086"/>
    <w:rsid w:val="00EB648C"/>
    <w:rsid w:val="00EC03FB"/>
    <w:rsid w:val="00EC506E"/>
    <w:rsid w:val="00ED476E"/>
    <w:rsid w:val="00EE41CB"/>
    <w:rsid w:val="00EE7A50"/>
    <w:rsid w:val="00EF0CB1"/>
    <w:rsid w:val="00EF2BBA"/>
    <w:rsid w:val="00EF5675"/>
    <w:rsid w:val="00F00D66"/>
    <w:rsid w:val="00F017EB"/>
    <w:rsid w:val="00F06FB8"/>
    <w:rsid w:val="00F077C7"/>
    <w:rsid w:val="00F11B60"/>
    <w:rsid w:val="00F122AC"/>
    <w:rsid w:val="00F1251C"/>
    <w:rsid w:val="00F16A09"/>
    <w:rsid w:val="00F22337"/>
    <w:rsid w:val="00F228A4"/>
    <w:rsid w:val="00F24836"/>
    <w:rsid w:val="00F32496"/>
    <w:rsid w:val="00F33B32"/>
    <w:rsid w:val="00F349D0"/>
    <w:rsid w:val="00F372E2"/>
    <w:rsid w:val="00F4431B"/>
    <w:rsid w:val="00F44EB3"/>
    <w:rsid w:val="00F4665A"/>
    <w:rsid w:val="00F50B02"/>
    <w:rsid w:val="00F523A1"/>
    <w:rsid w:val="00F566DF"/>
    <w:rsid w:val="00F56DC9"/>
    <w:rsid w:val="00F601D2"/>
    <w:rsid w:val="00F6422A"/>
    <w:rsid w:val="00F67C2C"/>
    <w:rsid w:val="00F7024F"/>
    <w:rsid w:val="00F80E92"/>
    <w:rsid w:val="00F82DD1"/>
    <w:rsid w:val="00F86D9D"/>
    <w:rsid w:val="00F92976"/>
    <w:rsid w:val="00F9439F"/>
    <w:rsid w:val="00F94851"/>
    <w:rsid w:val="00FA2BA0"/>
    <w:rsid w:val="00FB492C"/>
    <w:rsid w:val="00FC4763"/>
    <w:rsid w:val="00FE3BF5"/>
    <w:rsid w:val="00FE5438"/>
    <w:rsid w:val="00FF1D8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AF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D72"/>
    <w:rPr>
      <w:rFonts w:eastAsia="SimSu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en-GB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443A8"/>
    <w:rPr>
      <w:rFonts w:eastAsia="SimSun"/>
      <w:b/>
      <w:bCs/>
      <w:i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443A8"/>
    <w:rPr>
      <w:rFonts w:eastAsia="SimSun"/>
      <w:b/>
      <w:bCs/>
      <w:iCs/>
      <w:sz w:val="22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443A8"/>
    <w:rPr>
      <w:rFonts w:eastAsia="SimSun"/>
      <w:b/>
      <w:bCs/>
      <w:i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443A8"/>
    <w:rPr>
      <w:rFonts w:eastAsia="SimSun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443A8"/>
    <w:rPr>
      <w:rFonts w:eastAsia="SimSun"/>
      <w:i/>
      <w:iCs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443A8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B38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6816"/>
    <w:rPr>
      <w:rFonts w:eastAsia="SimSun"/>
      <w:sz w:val="24"/>
      <w:szCs w:val="24"/>
      <w:lang w:val="en-GB" w:eastAsia="zh-CN"/>
    </w:rPr>
  </w:style>
  <w:style w:type="paragraph" w:styleId="Bibliography">
    <w:name w:val="Bibliography"/>
    <w:basedOn w:val="Normal"/>
    <w:next w:val="Normal"/>
    <w:uiPriority w:val="37"/>
    <w:unhideWhenUsed/>
    <w:rsid w:val="00D32D72"/>
  </w:style>
  <w:style w:type="character" w:styleId="FollowedHyperlink">
    <w:name w:val="FollowedHyperlink"/>
    <w:basedOn w:val="DefaultParagraphFont"/>
    <w:semiHidden/>
    <w:unhideWhenUsed/>
    <w:rsid w:val="004823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13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350F"/>
    <w:rPr>
      <w:rFonts w:eastAsia="SimSun"/>
      <w:lang w:val="en-GB" w:eastAsia="zh-CN"/>
    </w:rPr>
  </w:style>
  <w:style w:type="character" w:styleId="FootnoteReference">
    <w:name w:val="footnote reference"/>
    <w:basedOn w:val="DefaultParagraphFont"/>
    <w:semiHidden/>
    <w:unhideWhenUsed/>
    <w:rsid w:val="0081350F"/>
    <w:rPr>
      <w:vertAlign w:val="superscript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443A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443A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443A8"/>
    <w:rPr>
      <w:rFonts w:eastAsia="MS Mincho"/>
      <w:lang w:val="en-US"/>
    </w:rPr>
  </w:style>
  <w:style w:type="paragraph" w:styleId="TOC5">
    <w:name w:val="toc 5"/>
    <w:basedOn w:val="Normal"/>
    <w:next w:val="Normal"/>
    <w:autoRedefine/>
    <w:rsid w:val="00D443A8"/>
    <w:pPr>
      <w:ind w:left="960"/>
    </w:pPr>
    <w:rPr>
      <w:rFonts w:eastAsia="MS Mincho"/>
      <w:lang w:val="en-US"/>
    </w:rPr>
  </w:style>
  <w:style w:type="paragraph" w:styleId="TOC6">
    <w:name w:val="toc 6"/>
    <w:basedOn w:val="Normal"/>
    <w:next w:val="Normal"/>
    <w:autoRedefine/>
    <w:rsid w:val="00D443A8"/>
    <w:pPr>
      <w:ind w:left="1200"/>
    </w:pPr>
    <w:rPr>
      <w:rFonts w:eastAsia="MS Mincho"/>
      <w:lang w:val="en-US"/>
    </w:rPr>
  </w:style>
  <w:style w:type="paragraph" w:styleId="TOC7">
    <w:name w:val="toc 7"/>
    <w:basedOn w:val="Normal"/>
    <w:next w:val="Normal"/>
    <w:autoRedefine/>
    <w:rsid w:val="00D443A8"/>
    <w:pPr>
      <w:ind w:left="1440"/>
    </w:pPr>
    <w:rPr>
      <w:rFonts w:eastAsia="MS Mincho"/>
      <w:lang w:val="en-US"/>
    </w:rPr>
  </w:style>
  <w:style w:type="paragraph" w:styleId="TOC8">
    <w:name w:val="toc 8"/>
    <w:basedOn w:val="Normal"/>
    <w:next w:val="Normal"/>
    <w:autoRedefine/>
    <w:rsid w:val="00D443A8"/>
    <w:pPr>
      <w:ind w:left="1680"/>
    </w:pPr>
    <w:rPr>
      <w:rFonts w:eastAsia="MS Mincho"/>
      <w:lang w:val="en-US"/>
    </w:rPr>
  </w:style>
  <w:style w:type="paragraph" w:styleId="TOC9">
    <w:name w:val="toc 9"/>
    <w:basedOn w:val="Normal"/>
    <w:next w:val="Normal"/>
    <w:autoRedefine/>
    <w:rsid w:val="00D443A8"/>
    <w:pPr>
      <w:ind w:left="1920"/>
    </w:pPr>
    <w:rPr>
      <w:rFonts w:eastAsia="MS Minch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D72"/>
    <w:rPr>
      <w:rFonts w:eastAsia="SimSu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en-GB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443A8"/>
    <w:rPr>
      <w:rFonts w:eastAsia="SimSun"/>
      <w:b/>
      <w:bCs/>
      <w:i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443A8"/>
    <w:rPr>
      <w:rFonts w:eastAsia="SimSun"/>
      <w:b/>
      <w:bCs/>
      <w:iCs/>
      <w:sz w:val="22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443A8"/>
    <w:rPr>
      <w:rFonts w:eastAsia="SimSun"/>
      <w:b/>
      <w:bCs/>
      <w:i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443A8"/>
    <w:rPr>
      <w:rFonts w:eastAsia="SimSun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443A8"/>
    <w:rPr>
      <w:rFonts w:eastAsia="SimSun"/>
      <w:i/>
      <w:iCs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443A8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B38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6816"/>
    <w:rPr>
      <w:rFonts w:eastAsia="SimSun"/>
      <w:sz w:val="24"/>
      <w:szCs w:val="24"/>
      <w:lang w:val="en-GB" w:eastAsia="zh-CN"/>
    </w:rPr>
  </w:style>
  <w:style w:type="paragraph" w:styleId="Bibliography">
    <w:name w:val="Bibliography"/>
    <w:basedOn w:val="Normal"/>
    <w:next w:val="Normal"/>
    <w:uiPriority w:val="37"/>
    <w:unhideWhenUsed/>
    <w:rsid w:val="00D32D72"/>
  </w:style>
  <w:style w:type="character" w:styleId="FollowedHyperlink">
    <w:name w:val="FollowedHyperlink"/>
    <w:basedOn w:val="DefaultParagraphFont"/>
    <w:semiHidden/>
    <w:unhideWhenUsed/>
    <w:rsid w:val="004823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13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350F"/>
    <w:rPr>
      <w:rFonts w:eastAsia="SimSun"/>
      <w:lang w:val="en-GB" w:eastAsia="zh-CN"/>
    </w:rPr>
  </w:style>
  <w:style w:type="character" w:styleId="FootnoteReference">
    <w:name w:val="footnote reference"/>
    <w:basedOn w:val="DefaultParagraphFont"/>
    <w:semiHidden/>
    <w:unhideWhenUsed/>
    <w:rsid w:val="0081350F"/>
    <w:rPr>
      <w:vertAlign w:val="superscript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D443A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443A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443A8"/>
    <w:rPr>
      <w:rFonts w:eastAsia="MS Mincho"/>
      <w:lang w:val="en-US"/>
    </w:rPr>
  </w:style>
  <w:style w:type="paragraph" w:styleId="TOC5">
    <w:name w:val="toc 5"/>
    <w:basedOn w:val="Normal"/>
    <w:next w:val="Normal"/>
    <w:autoRedefine/>
    <w:rsid w:val="00D443A8"/>
    <w:pPr>
      <w:ind w:left="960"/>
    </w:pPr>
    <w:rPr>
      <w:rFonts w:eastAsia="MS Mincho"/>
      <w:lang w:val="en-US"/>
    </w:rPr>
  </w:style>
  <w:style w:type="paragraph" w:styleId="TOC6">
    <w:name w:val="toc 6"/>
    <w:basedOn w:val="Normal"/>
    <w:next w:val="Normal"/>
    <w:autoRedefine/>
    <w:rsid w:val="00D443A8"/>
    <w:pPr>
      <w:ind w:left="1200"/>
    </w:pPr>
    <w:rPr>
      <w:rFonts w:eastAsia="MS Mincho"/>
      <w:lang w:val="en-US"/>
    </w:rPr>
  </w:style>
  <w:style w:type="paragraph" w:styleId="TOC7">
    <w:name w:val="toc 7"/>
    <w:basedOn w:val="Normal"/>
    <w:next w:val="Normal"/>
    <w:autoRedefine/>
    <w:rsid w:val="00D443A8"/>
    <w:pPr>
      <w:ind w:left="1440"/>
    </w:pPr>
    <w:rPr>
      <w:rFonts w:eastAsia="MS Mincho"/>
      <w:lang w:val="en-US"/>
    </w:rPr>
  </w:style>
  <w:style w:type="paragraph" w:styleId="TOC8">
    <w:name w:val="toc 8"/>
    <w:basedOn w:val="Normal"/>
    <w:next w:val="Normal"/>
    <w:autoRedefine/>
    <w:rsid w:val="00D443A8"/>
    <w:pPr>
      <w:ind w:left="1680"/>
    </w:pPr>
    <w:rPr>
      <w:rFonts w:eastAsia="MS Mincho"/>
      <w:lang w:val="en-US"/>
    </w:rPr>
  </w:style>
  <w:style w:type="paragraph" w:styleId="TOC9">
    <w:name w:val="toc 9"/>
    <w:basedOn w:val="Normal"/>
    <w:next w:val="Normal"/>
    <w:autoRedefine/>
    <w:rsid w:val="00D443A8"/>
    <w:pPr>
      <w:ind w:left="1920"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2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JTC14</b:Tag>
    <b:SourceType>ConferenceProceedings</b:SourceType>
    <b:Guid>{C140EA39-0FA2-48A5-97DE-447E1EC3F575}</b:Guid>
    <b:Author>
      <b:Author>
        <b:Corporate>MPEG Requirements</b:Corporate>
      </b:Author>
    </b:Author>
    <b:Title>ISO/IEC JTC 1/SC 29/WG 11 MPEG2014/N14553 - Issues in genome compression and storage</b:Title>
    <b:Year>2014</b:Year>
    <b:City>Sapporo</b:City>
    <b:RefOrder>3</b:RefOrder>
  </b:Source>
  <b:Source>
    <b:Tag>Can14</b:Tag>
    <b:SourceType>JournalArticle</b:SourceType>
    <b:Guid>{B4908D5E-BCEF-4DEB-A42A-DABEAF286DD8}</b:Guid>
    <b:Author>
      <b:Author>
        <b:NameList>
          <b:Person>
            <b:Last>Canovas</b:Last>
            <b:First>R.</b:First>
          </b:Person>
          <b:Person>
            <b:Last>Moffat</b:Last>
            <b:First>A.</b:First>
          </b:Person>
          <b:Person>
            <b:Last>Turpin</b:Last>
            <b:First>A.</b:First>
          </b:Person>
        </b:NameList>
      </b:Author>
    </b:Author>
    <b:Title>Lossy compression of quality scores in genomic data</b:Title>
    <b:Year>2014</b:Year>
    <b:JournalName>Bioinformatics</b:JournalName>
    <b:Pages>2130-2136</b:Pages>
    <b:Volume>30</b:Volume>
    <b:Issue>15</b:Issue>
    <b:RefOrder>4</b:RefOrder>
  </b:Source>
  <b:Source>
    <b:Tag>Placeholder1</b:Tag>
    <b:SourceType>JournalArticle</b:SourceType>
    <b:Guid>{0A8F04D1-DCFC-4A5B-B174-FF2E88864AE4}</b:Guid>
    <b:Author>
      <b:Author>
        <b:NameList>
          <b:Person>
            <b:Last>Hernaez</b:Last>
            <b:First>M.</b:First>
          </b:Person>
          <b:Person>
            <b:Last>Ochoa</b:Last>
            <b:First>I.</b:First>
          </b:Person>
          <b:Person>
            <b:Last>Goldfeder</b:Last>
            <b:First>R.</b:First>
          </b:Person>
          <b:Person>
            <b:Last>Weissman</b:Last>
            <b:First>T.</b:First>
          </b:Person>
          <b:Person>
            <b:Last>Ashley</b:Last>
            <b:First>E.</b:First>
          </b:Person>
        </b:NameList>
      </b:Author>
    </b:Author>
    <b:Title>Effect of lossy compression of quality scores on SNP</b:Title>
    <b:JournalName>Biorxiv</b:JournalName>
    <b:Year>2015</b:Year>
    <b:RefOrder>5</b:RefOrder>
  </b:Source>
  <b:Source>
    <b:Tag>Kah11</b:Tag>
    <b:SourceType>JournalArticle</b:SourceType>
    <b:Guid>{C60A3BBE-8B0A-4460-B5BA-DF4596EB0718}</b:Guid>
    <b:Title>On the Future of Genomic Data</b:Title>
    <b:Year>2011</b:Year>
    <b:Author>
      <b:Author>
        <b:NameList>
          <b:Person>
            <b:Last>Kahn</b:Last>
            <b:First>S.</b:First>
            <b:Middle>D.</b:Middle>
          </b:Person>
        </b:NameList>
      </b:Author>
    </b:Author>
    <b:JournalName>Science</b:JournalName>
    <b:Pages>728-729</b:Pages>
    <b:Volume>331</b:Volume>
    <b:RefOrder>6</b:RefOrder>
  </b:Source>
  <b:Source>
    <b:Tag>MPE153</b:Tag>
    <b:SourceType>ConferenceProceedings</b:SourceType>
    <b:Guid>{B2770AF4-A804-46C2-9CED-307AA1A567CF}</b:Guid>
    <b:Title>ISO/IEC JTC 1/SC 29/WG 11 MPEG2015/N15740 - Call for Evidence on Genome Compression and Storage</b:Title>
    <b:Year>2015</b:Year>
    <b:Author>
      <b:Author>
        <b:Corporate>MPEG Requirements</b:Corporate>
      </b:Author>
    </b:Author>
    <b:City>Geneva</b:City>
    <b:RefOrder>1</b:RefOrder>
  </b:Source>
  <b:Source>
    <b:Tag>Ste15</b:Tag>
    <b:SourceType>JournalArticle</b:SourceType>
    <b:Guid>{590107E9-3391-41D5-AFE7-2ABD55EE2940}</b:Guid>
    <b:Title>Big Data: Astronomical or Genomical?</b:Title>
    <b:Year>2015</b:Year>
    <b:JournalName>PLOS Biology</b:JournalName>
    <b:Author>
      <b:Author>
        <b:NameList>
          <b:Person>
            <b:Last>Stephens</b:Last>
            <b:First>Z.</b:First>
            <b:Middle>D.</b:Middle>
          </b:Person>
          <b:Person>
            <b:Last>Lee</b:Last>
            <b:First>S.</b:First>
            <b:Middle>Y.</b:Middle>
          </b:Person>
          <b:Person>
            <b:Last>Faghri</b:Last>
            <b:First>F.</b:First>
          </b:Person>
          <b:Person>
            <b:Last>Campbell</b:Last>
            <b:First>R.</b:First>
            <b:Middle>H.</b:Middle>
          </b:Person>
          <b:Person>
            <b:Last>Zhai</b:Last>
            <b:First>C.</b:First>
          </b:Person>
          <b:Person>
            <b:Last>Efron</b:Last>
            <b:First>M.</b:First>
            <b:Middle>J.</b:Middle>
          </b:Person>
          <b:Person>
            <b:Last>Robinson</b:Last>
            <b:First>G.</b:First>
            <b:Middle>E.</b:Middle>
          </b:Person>
        </b:NameList>
      </b:Author>
    </b:Author>
    <b:URL>http://journals.plos.org/plosbiology/article?id=10.1371/journal.pbio.1002195</b:URL>
    <b:RefOrder>7</b:RefOrder>
  </b:Source>
  <b:Source>
    <b:Tag>MPE16</b:Tag>
    <b:SourceType>ConferenceProceedings</b:SourceType>
    <b:Guid>{222F9CAA-4485-491E-93EE-0115B3BE9C18}</b:Guid>
    <b:Author>
      <b:Author>
        <b:Corporate>MPEG Requirements</b:Corporate>
      </b:Author>
    </b:Author>
    <b:Title>ISO/IEC JTC 1/SC 29/WG 11 MPEG2016/N15XXX - Results of the Call for Evidence on Genome Compression and Storage</b:Title>
    <b:Year>2016</b:Year>
    <b:City>San Diego</b:City>
    <b:RefOrder>8</b:RefOrder>
  </b:Source>
  <b:Source>
    <b:Tag>MPE161</b:Tag>
    <b:SourceType>ConferenceProceedings</b:SourceType>
    <b:Guid>{4D67BF6E-0A8B-4C68-9453-F8B090B9C584}</b:Guid>
    <b:Author>
      <b:Author>
        <b:Corporate>MPEG Requirements</b:Corporate>
      </b:Author>
    </b:Author>
    <b:Title>ISO/IEC JTC 1/SC 29/WG 11 MPEG2016/N15XXX - Evauation Criteria of the Call for Proposals on Genome Compression and Storage</b:Title>
    <b:Year>2016</b:Year>
    <b:City>San Diego</b:City>
    <b:RefOrder>9</b:RefOrder>
  </b:Source>
  <b:Source>
    <b:Tag>MPE163</b:Tag>
    <b:SourceType>ConferenceProceedings</b:SourceType>
    <b:Guid>{83DE0B4D-49B3-40C3-A179-8465A0CC779B}</b:Guid>
    <b:Author>
      <b:Author>
        <b:Corporate>MPEG Requirements</b:Corporate>
      </b:Author>
    </b:Author>
    <b:Title>ISO/IEC JTC 1/SC 29/WG 11 MPEG2016/N16145 - Database for Evaluation of Genome Compression and Storage</b:Title>
    <b:Year>2016</b:Year>
    <b:City>San Diego</b:City>
    <b:RefOrder>2</b:RefOrder>
  </b:Source>
</b:Sources>
</file>

<file path=customXml/itemProps1.xml><?xml version="1.0" encoding="utf-8"?>
<ds:datastoreItem xmlns:ds="http://schemas.openxmlformats.org/officeDocument/2006/customXml" ds:itemID="{5CB082B1-248F-4EEE-912C-740583A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166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CEDEO</Company>
  <LinksUpToDate>false</LinksUpToDate>
  <CharactersWithSpaces>8814</CharactersWithSpaces>
  <SharedDoc>false</SharedDoc>
  <HLinks>
    <vt:vector size="66" baseType="variant"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_Toc433317015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_Toc433317014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_Toc433317013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_Toc433317012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_Toc433317011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_Toc433317010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_Toc433317009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_Toc433317008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_Toc433317007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_Toc433317006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_Toc433317005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Leonardo Chiariglione</dc:creator>
  <cp:lastModifiedBy>Claudio Alberti</cp:lastModifiedBy>
  <cp:revision>14</cp:revision>
  <dcterms:created xsi:type="dcterms:W3CDTF">2016-02-26T17:31:00Z</dcterms:created>
  <dcterms:modified xsi:type="dcterms:W3CDTF">2016-03-22T09:33:00Z</dcterms:modified>
</cp:coreProperties>
</file>