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430" w:rsidRPr="00C0188B" w:rsidRDefault="00301430" w:rsidP="00301430">
      <w:pPr>
        <w:jc w:val="center"/>
        <w:rPr>
          <w:b/>
          <w:sz w:val="28"/>
          <w:szCs w:val="28"/>
        </w:rPr>
      </w:pPr>
      <w:r w:rsidRPr="00C0188B">
        <w:rPr>
          <w:b/>
          <w:sz w:val="28"/>
          <w:szCs w:val="28"/>
        </w:rPr>
        <w:t>INTERNATIONAL ORGANISATION FOR STANDARDISATION</w:t>
      </w:r>
    </w:p>
    <w:p w:rsidR="00301430" w:rsidRDefault="00301430" w:rsidP="00301430">
      <w:pPr>
        <w:jc w:val="center"/>
        <w:rPr>
          <w:b/>
          <w:sz w:val="28"/>
        </w:rPr>
      </w:pPr>
      <w:r>
        <w:rPr>
          <w:b/>
          <w:sz w:val="28"/>
        </w:rPr>
        <w:t>ORGANISATION INTERNATIONALE DE NORMALISATION</w:t>
      </w:r>
    </w:p>
    <w:p w:rsidR="00301430" w:rsidRDefault="00301430" w:rsidP="00301430">
      <w:pPr>
        <w:jc w:val="center"/>
        <w:rPr>
          <w:b/>
          <w:sz w:val="28"/>
        </w:rPr>
      </w:pPr>
      <w:r>
        <w:rPr>
          <w:b/>
          <w:sz w:val="28"/>
        </w:rPr>
        <w:t>ISO/IEC JTC1/SC29/WG11</w:t>
      </w:r>
    </w:p>
    <w:p w:rsidR="00301430" w:rsidRDefault="00301430" w:rsidP="00301430">
      <w:pPr>
        <w:jc w:val="center"/>
        <w:rPr>
          <w:b/>
        </w:rPr>
      </w:pPr>
      <w:r>
        <w:rPr>
          <w:b/>
          <w:sz w:val="28"/>
        </w:rPr>
        <w:t>CODING OF MOVING PICTURES AND AUDIO</w:t>
      </w:r>
    </w:p>
    <w:p w:rsidR="00301430" w:rsidRDefault="00301430" w:rsidP="00301430">
      <w:pPr>
        <w:tabs>
          <w:tab w:val="left" w:pos="5387"/>
        </w:tabs>
        <w:spacing w:line="240" w:lineRule="exact"/>
        <w:jc w:val="center"/>
        <w:rPr>
          <w:b/>
        </w:rPr>
      </w:pPr>
    </w:p>
    <w:p w:rsidR="00301430" w:rsidRPr="00815D2A" w:rsidRDefault="00301430" w:rsidP="00301430">
      <w:pPr>
        <w:jc w:val="right"/>
        <w:rPr>
          <w:b/>
        </w:rPr>
      </w:pPr>
      <w:r>
        <w:rPr>
          <w:b/>
        </w:rPr>
        <w:t xml:space="preserve">ISO/IEC JTC1/SC29/WG11 </w:t>
      </w:r>
      <w:r>
        <w:rPr>
          <w:rFonts w:hint="eastAsia"/>
          <w:b/>
          <w:color w:val="FF0000"/>
          <w:lang w:eastAsia="ja-JP"/>
        </w:rPr>
        <w:t>N</w:t>
      </w:r>
      <w:bookmarkStart w:id="0" w:name="_GoBack"/>
      <w:bookmarkEnd w:id="0"/>
      <w:r w:rsidR="003A2F30">
        <w:rPr>
          <w:b/>
          <w:color w:val="FF0000"/>
          <w:lang w:eastAsia="ja-JP"/>
        </w:rPr>
        <w:t>14553</w:t>
      </w:r>
    </w:p>
    <w:p w:rsidR="00301430" w:rsidRDefault="00301430" w:rsidP="00301430">
      <w:pPr>
        <w:jc w:val="right"/>
        <w:rPr>
          <w:rFonts w:eastAsia="Malgun Gothic"/>
          <w:b/>
          <w:lang w:eastAsia="ko-KR"/>
        </w:rPr>
      </w:pPr>
      <w:r>
        <w:rPr>
          <w:rFonts w:eastAsia="Malgun Gothic"/>
          <w:b/>
          <w:lang w:eastAsia="ko-KR"/>
        </w:rPr>
        <w:t>July</w:t>
      </w:r>
      <w:r>
        <w:rPr>
          <w:rFonts w:eastAsia="Malgun Gothic" w:hint="eastAsia"/>
          <w:b/>
          <w:lang w:eastAsia="ko-KR"/>
        </w:rPr>
        <w:t xml:space="preserve"> 2014, </w:t>
      </w:r>
      <w:r>
        <w:rPr>
          <w:rFonts w:eastAsia="Malgun Gothic"/>
          <w:b/>
          <w:lang w:eastAsia="ko-KR"/>
        </w:rPr>
        <w:t>Sapporo</w:t>
      </w:r>
      <w:r>
        <w:rPr>
          <w:rFonts w:eastAsia="Malgun Gothic" w:hint="eastAsia"/>
          <w:b/>
          <w:lang w:eastAsia="ko-KR"/>
        </w:rPr>
        <w:t xml:space="preserve">, </w:t>
      </w:r>
      <w:r>
        <w:rPr>
          <w:rFonts w:eastAsia="Malgun Gothic"/>
          <w:b/>
          <w:lang w:eastAsia="ko-KR"/>
        </w:rPr>
        <w:t>Japan</w:t>
      </w:r>
    </w:p>
    <w:p w:rsidR="00301430" w:rsidRPr="00815D2A" w:rsidRDefault="00301430" w:rsidP="00301430">
      <w:pPr>
        <w:jc w:val="right"/>
        <w:rPr>
          <w:b/>
          <w:lang w:eastAsia="ja-JP"/>
        </w:rPr>
      </w:pPr>
    </w:p>
    <w:p w:rsidR="00301430" w:rsidRPr="00C0188B" w:rsidRDefault="00301430" w:rsidP="00301430">
      <w:pPr>
        <w:spacing w:line="240" w:lineRule="exact"/>
        <w:rPr>
          <w:lang w:val="fr-FR"/>
        </w:rPr>
      </w:pPr>
    </w:p>
    <w:tbl>
      <w:tblPr>
        <w:tblW w:w="0" w:type="auto"/>
        <w:tblLook w:val="01E0"/>
      </w:tblPr>
      <w:tblGrid>
        <w:gridCol w:w="1080"/>
        <w:gridCol w:w="8491"/>
      </w:tblGrid>
      <w:tr w:rsidR="00301430" w:rsidRPr="004356C9" w:rsidTr="00532D69">
        <w:tc>
          <w:tcPr>
            <w:tcW w:w="1080" w:type="dxa"/>
          </w:tcPr>
          <w:p w:rsidR="00301430" w:rsidRPr="004356C9" w:rsidRDefault="00301430" w:rsidP="00532D69">
            <w:pPr>
              <w:suppressAutoHyphens/>
              <w:rPr>
                <w:b/>
              </w:rPr>
            </w:pPr>
            <w:r w:rsidRPr="004356C9">
              <w:rPr>
                <w:b/>
              </w:rPr>
              <w:t>Source</w:t>
            </w:r>
          </w:p>
        </w:tc>
        <w:tc>
          <w:tcPr>
            <w:tcW w:w="8491" w:type="dxa"/>
          </w:tcPr>
          <w:p w:rsidR="00301430" w:rsidRPr="004356C9" w:rsidRDefault="00301430" w:rsidP="00532D69">
            <w:pPr>
              <w:suppressAutoHyphens/>
              <w:rPr>
                <w:rFonts w:eastAsia="Malgun Gothic"/>
                <w:b/>
                <w:lang w:eastAsia="ko-KR"/>
              </w:rPr>
            </w:pPr>
            <w:r>
              <w:rPr>
                <w:rFonts w:eastAsia="Malgun Gothic"/>
                <w:b/>
                <w:lang w:eastAsia="ko-KR"/>
              </w:rPr>
              <w:t>Requirement</w:t>
            </w:r>
            <w:r w:rsidRPr="004356C9">
              <w:rPr>
                <w:rFonts w:eastAsia="Malgun Gothic" w:hint="eastAsia"/>
                <w:b/>
                <w:lang w:eastAsia="ko-KR"/>
              </w:rPr>
              <w:t xml:space="preserve"> Subgroup</w:t>
            </w:r>
          </w:p>
        </w:tc>
      </w:tr>
      <w:tr w:rsidR="00301430" w:rsidRPr="004356C9" w:rsidTr="00532D69">
        <w:tc>
          <w:tcPr>
            <w:tcW w:w="1080" w:type="dxa"/>
          </w:tcPr>
          <w:p w:rsidR="00301430" w:rsidRPr="004356C9" w:rsidRDefault="00301430" w:rsidP="00532D69">
            <w:pPr>
              <w:suppressAutoHyphens/>
              <w:rPr>
                <w:b/>
              </w:rPr>
            </w:pPr>
            <w:r w:rsidRPr="004356C9">
              <w:rPr>
                <w:b/>
              </w:rPr>
              <w:t>Status</w:t>
            </w:r>
          </w:p>
        </w:tc>
        <w:tc>
          <w:tcPr>
            <w:tcW w:w="8491" w:type="dxa"/>
          </w:tcPr>
          <w:p w:rsidR="00301430" w:rsidRPr="004356C9" w:rsidRDefault="00301430" w:rsidP="00532D69">
            <w:pPr>
              <w:suppressAutoHyphens/>
              <w:rPr>
                <w:rFonts w:eastAsia="Malgun Gothic"/>
                <w:b/>
                <w:lang w:eastAsia="ko-KR"/>
              </w:rPr>
            </w:pPr>
            <w:r w:rsidRPr="004356C9">
              <w:rPr>
                <w:rFonts w:eastAsia="Malgun Gothic" w:hint="eastAsia"/>
                <w:b/>
                <w:lang w:eastAsia="ko-KR"/>
              </w:rPr>
              <w:t>Approved</w:t>
            </w:r>
          </w:p>
        </w:tc>
      </w:tr>
      <w:tr w:rsidR="00301430" w:rsidRPr="004356C9" w:rsidTr="00532D69">
        <w:tc>
          <w:tcPr>
            <w:tcW w:w="1080" w:type="dxa"/>
          </w:tcPr>
          <w:p w:rsidR="00301430" w:rsidRPr="004356C9" w:rsidRDefault="00301430" w:rsidP="00532D69">
            <w:pPr>
              <w:suppressAutoHyphens/>
              <w:rPr>
                <w:b/>
              </w:rPr>
            </w:pPr>
            <w:r w:rsidRPr="004356C9">
              <w:rPr>
                <w:b/>
              </w:rPr>
              <w:t>Title</w:t>
            </w:r>
          </w:p>
        </w:tc>
        <w:tc>
          <w:tcPr>
            <w:tcW w:w="8491" w:type="dxa"/>
          </w:tcPr>
          <w:p w:rsidR="00301430" w:rsidRPr="004356C9" w:rsidRDefault="00301430" w:rsidP="00532D69">
            <w:pPr>
              <w:suppressAutoHyphens/>
              <w:rPr>
                <w:rFonts w:eastAsia="Malgun Gothic"/>
                <w:b/>
                <w:lang w:eastAsia="ko-KR"/>
              </w:rPr>
            </w:pPr>
            <w:r w:rsidRPr="00301430">
              <w:rPr>
                <w:rFonts w:eastAsia="Malgun Gothic"/>
                <w:b/>
                <w:lang w:eastAsia="ko-KR"/>
              </w:rPr>
              <w:t>Issues in genome compression and storage</w:t>
            </w:r>
          </w:p>
        </w:tc>
      </w:tr>
      <w:tr w:rsidR="00301430" w:rsidRPr="00192614" w:rsidTr="00532D69">
        <w:tc>
          <w:tcPr>
            <w:tcW w:w="1080" w:type="dxa"/>
          </w:tcPr>
          <w:p w:rsidR="00301430" w:rsidRPr="004356C9" w:rsidRDefault="00301430" w:rsidP="00532D69">
            <w:pPr>
              <w:rPr>
                <w:b/>
              </w:rPr>
            </w:pPr>
            <w:r w:rsidRPr="004356C9">
              <w:rPr>
                <w:b/>
              </w:rPr>
              <w:t>Author</w:t>
            </w:r>
            <w:r w:rsidR="007C2FDB">
              <w:rPr>
                <w:b/>
              </w:rPr>
              <w:t>s</w:t>
            </w:r>
          </w:p>
        </w:tc>
        <w:tc>
          <w:tcPr>
            <w:tcW w:w="8491" w:type="dxa"/>
          </w:tcPr>
          <w:p w:rsidR="00301430" w:rsidRPr="00532D69" w:rsidRDefault="00301430" w:rsidP="00532D69">
            <w:pPr>
              <w:rPr>
                <w:b/>
                <w:lang w:val="es-ES" w:eastAsia="ja-JP"/>
              </w:rPr>
            </w:pPr>
            <w:r w:rsidRPr="00532D69">
              <w:rPr>
                <w:b/>
                <w:lang w:val="es-ES" w:eastAsia="ja-JP"/>
              </w:rPr>
              <w:t xml:space="preserve">Marco </w:t>
            </w:r>
            <w:proofErr w:type="spellStart"/>
            <w:r w:rsidRPr="00532D69">
              <w:rPr>
                <w:b/>
                <w:lang w:val="es-ES" w:eastAsia="ja-JP"/>
              </w:rPr>
              <w:t>Mattavelli</w:t>
            </w:r>
            <w:proofErr w:type="spellEnd"/>
            <w:r w:rsidRPr="00532D69">
              <w:rPr>
                <w:b/>
                <w:lang w:val="es-ES" w:eastAsia="ja-JP"/>
              </w:rPr>
              <w:t xml:space="preserve"> (EPFL)</w:t>
            </w:r>
          </w:p>
          <w:p w:rsidR="008A00CE" w:rsidRPr="00192614" w:rsidRDefault="00301430" w:rsidP="00532D69">
            <w:pPr>
              <w:rPr>
                <w:b/>
                <w:lang w:val="es-ES" w:eastAsia="ja-JP"/>
              </w:rPr>
            </w:pPr>
            <w:r w:rsidRPr="00192614">
              <w:rPr>
                <w:rFonts w:eastAsia="Malgun Gothic"/>
                <w:b/>
                <w:lang w:val="es-ES" w:eastAsia="ko-KR"/>
              </w:rPr>
              <w:t>Claudio Alberti (EPFL)</w:t>
            </w:r>
          </w:p>
          <w:p w:rsidR="008A00CE" w:rsidRDefault="008A00CE" w:rsidP="00532D69">
            <w:pPr>
              <w:rPr>
                <w:b/>
                <w:lang w:eastAsia="ja-JP"/>
              </w:rPr>
            </w:pPr>
            <w:proofErr w:type="spellStart"/>
            <w:r w:rsidRPr="00766165">
              <w:rPr>
                <w:b/>
                <w:lang w:eastAsia="ja-JP"/>
              </w:rPr>
              <w:t>Yann</w:t>
            </w:r>
            <w:proofErr w:type="spellEnd"/>
            <w:r w:rsidRPr="00766165">
              <w:rPr>
                <w:b/>
                <w:lang w:eastAsia="ja-JP"/>
              </w:rPr>
              <w:t xml:space="preserve"> </w:t>
            </w:r>
            <w:proofErr w:type="spellStart"/>
            <w:r w:rsidRPr="00766165">
              <w:rPr>
                <w:b/>
                <w:lang w:eastAsia="ja-JP"/>
              </w:rPr>
              <w:t>Thoma</w:t>
            </w:r>
            <w:proofErr w:type="spellEnd"/>
            <w:r w:rsidRPr="00766165">
              <w:rPr>
                <w:b/>
                <w:lang w:eastAsia="ja-JP"/>
              </w:rPr>
              <w:t xml:space="preserve"> </w:t>
            </w:r>
            <w:r w:rsidR="007C2FDB">
              <w:rPr>
                <w:b/>
                <w:lang w:eastAsia="ja-JP"/>
              </w:rPr>
              <w:t>(</w:t>
            </w:r>
            <w:r w:rsidR="00037DF7" w:rsidRPr="00037DF7">
              <w:rPr>
                <w:b/>
                <w:lang w:eastAsia="ja-JP"/>
              </w:rPr>
              <w:t>HEIG-VD</w:t>
            </w:r>
            <w:r w:rsidR="007C2FDB">
              <w:rPr>
                <w:b/>
                <w:lang w:eastAsia="ja-JP"/>
              </w:rPr>
              <w:t>)</w:t>
            </w:r>
          </w:p>
          <w:p w:rsidR="00301430" w:rsidRDefault="008A00CE" w:rsidP="00532D69">
            <w:pPr>
              <w:rPr>
                <w:rFonts w:eastAsia="Malgun Gothic"/>
                <w:b/>
                <w:lang w:eastAsia="ko-KR"/>
              </w:rPr>
            </w:pPr>
            <w:r w:rsidRPr="00766165">
              <w:rPr>
                <w:b/>
                <w:lang w:eastAsia="ja-JP"/>
              </w:rPr>
              <w:t xml:space="preserve">Heinz </w:t>
            </w:r>
            <w:proofErr w:type="spellStart"/>
            <w:r w:rsidRPr="00766165">
              <w:rPr>
                <w:b/>
                <w:lang w:eastAsia="ja-JP"/>
              </w:rPr>
              <w:t>Stockinger</w:t>
            </w:r>
            <w:proofErr w:type="spellEnd"/>
            <w:r w:rsidR="007C2FDB">
              <w:rPr>
                <w:b/>
                <w:lang w:eastAsia="ja-JP"/>
              </w:rPr>
              <w:t xml:space="preserve"> (SIB)</w:t>
            </w:r>
          </w:p>
          <w:p w:rsidR="00FE13C7" w:rsidRPr="00532D69" w:rsidRDefault="00FE13C7" w:rsidP="00532D69">
            <w:pPr>
              <w:rPr>
                <w:rFonts w:eastAsia="Malgun Gothic"/>
                <w:b/>
                <w:lang w:val="es-ES" w:eastAsia="ko-KR"/>
              </w:rPr>
            </w:pPr>
            <w:r w:rsidRPr="00532D69">
              <w:rPr>
                <w:rFonts w:eastAsia="Malgun Gothic"/>
                <w:b/>
                <w:lang w:val="es-ES" w:eastAsia="ko-KR"/>
              </w:rPr>
              <w:t>Jaime Delgado (UPC)</w:t>
            </w:r>
          </w:p>
          <w:p w:rsidR="008A00CE" w:rsidRPr="00532D69" w:rsidRDefault="007C2FDB" w:rsidP="008A00CE">
            <w:pPr>
              <w:spacing w:after="100" w:afterAutospacing="1"/>
              <w:rPr>
                <w:b/>
                <w:lang w:val="es-ES" w:eastAsia="ja-JP"/>
              </w:rPr>
            </w:pPr>
            <w:proofErr w:type="spellStart"/>
            <w:r>
              <w:rPr>
                <w:b/>
                <w:lang w:val="es-ES" w:eastAsia="ja-JP"/>
              </w:rPr>
              <w:t>Ioannis</w:t>
            </w:r>
            <w:proofErr w:type="spellEnd"/>
            <w:r>
              <w:rPr>
                <w:b/>
                <w:lang w:val="es-ES" w:eastAsia="ja-JP"/>
              </w:rPr>
              <w:t xml:space="preserve"> </w:t>
            </w:r>
            <w:proofErr w:type="spellStart"/>
            <w:r>
              <w:rPr>
                <w:b/>
                <w:lang w:val="es-ES" w:eastAsia="ja-JP"/>
              </w:rPr>
              <w:t>Xenarios</w:t>
            </w:r>
            <w:proofErr w:type="spellEnd"/>
            <w:r>
              <w:rPr>
                <w:b/>
                <w:lang w:val="es-ES" w:eastAsia="ja-JP"/>
              </w:rPr>
              <w:t xml:space="preserve"> (SIB)</w:t>
            </w:r>
          </w:p>
          <w:p w:rsidR="00301430" w:rsidRPr="00532D69" w:rsidRDefault="00301430" w:rsidP="00532D69">
            <w:pPr>
              <w:rPr>
                <w:rFonts w:eastAsia="Malgun Gothic"/>
                <w:b/>
                <w:lang w:val="es-ES" w:eastAsia="ko-KR"/>
              </w:rPr>
            </w:pPr>
          </w:p>
        </w:tc>
      </w:tr>
    </w:tbl>
    <w:p w:rsidR="00301430" w:rsidRPr="00532D69" w:rsidRDefault="00301430" w:rsidP="00301430">
      <w:pPr>
        <w:rPr>
          <w:rFonts w:eastAsia="Malgun Gothic"/>
          <w:lang w:val="es-ES" w:eastAsia="ko-KR"/>
        </w:rPr>
      </w:pPr>
    </w:p>
    <w:p w:rsidR="00301430" w:rsidRPr="00532D69" w:rsidRDefault="00301430" w:rsidP="00301430">
      <w:pPr>
        <w:rPr>
          <w:rFonts w:eastAsia="Malgun Gothic"/>
          <w:lang w:val="es-ES" w:eastAsia="ko-KR"/>
        </w:rPr>
      </w:pPr>
    </w:p>
    <w:p w:rsidR="00301430" w:rsidRDefault="00206D38" w:rsidP="00301430">
      <w:pPr>
        <w:pStyle w:val="Ttulo1"/>
      </w:pPr>
      <w:r>
        <w:t>Problem definition</w:t>
      </w:r>
    </w:p>
    <w:p w:rsidR="008A00CE" w:rsidRDefault="008A00CE" w:rsidP="008A00CE">
      <w:r w:rsidRPr="00766165">
        <w:t>Recent technological advances in sequencing genomes (including humans) have enabled a faster and</w:t>
      </w:r>
      <w:r>
        <w:t xml:space="preserve"> </w:t>
      </w:r>
      <w:r w:rsidRPr="00766165">
        <w:t>more cost-efficient approach to sequence individual genomes. In a not so fa</w:t>
      </w:r>
      <w:r>
        <w:t xml:space="preserve">r future it will be possible to </w:t>
      </w:r>
      <w:r w:rsidRPr="00766165">
        <w:t>sequence and analyze the entire genome of any patient as frequently as we current</w:t>
      </w:r>
      <w:r>
        <w:t xml:space="preserve">ly can resort to blood </w:t>
      </w:r>
      <w:r w:rsidRPr="00766165">
        <w:t>tests and standard clinical analysis. However, large scale sequencing and a</w:t>
      </w:r>
      <w:r>
        <w:t xml:space="preserve">nalysis efforts still have many </w:t>
      </w:r>
      <w:r w:rsidRPr="00766165">
        <w:t>scientific and technological challenges that currently prevent a readil</w:t>
      </w:r>
      <w:r>
        <w:t xml:space="preserve">y usable genome in the clinical </w:t>
      </w:r>
      <w:r w:rsidRPr="00766165">
        <w:t>practice being in hospitals or health ca</w:t>
      </w:r>
      <w:r w:rsidR="00E3532F">
        <w:t>re institutions.</w:t>
      </w:r>
    </w:p>
    <w:p w:rsidR="00E3532F" w:rsidRPr="00766165" w:rsidRDefault="00E3532F" w:rsidP="008A00CE"/>
    <w:p w:rsidR="008A00CE" w:rsidRPr="00766165" w:rsidRDefault="008A00CE" w:rsidP="008A00CE">
      <w:r w:rsidRPr="00766165">
        <w:t>Creation, storage and analysis of sequence data has many technological and engineering challenges</w:t>
      </w:r>
      <w:r>
        <w:t xml:space="preserve"> </w:t>
      </w:r>
      <w:r w:rsidRPr="00766165">
        <w:t>such as the amount</w:t>
      </w:r>
      <w:r>
        <w:t xml:space="preserve"> of data</w:t>
      </w:r>
      <w:r w:rsidRPr="00766165">
        <w:t xml:space="preserve">, </w:t>
      </w:r>
      <w:r>
        <w:t xml:space="preserve">the </w:t>
      </w:r>
      <w:r w:rsidRPr="00766165">
        <w:t xml:space="preserve">structure of data, </w:t>
      </w:r>
      <w:r>
        <w:t xml:space="preserve">the </w:t>
      </w:r>
      <w:r w:rsidRPr="00766165">
        <w:t>computer hardware limitations (memory, s</w:t>
      </w:r>
      <w:r>
        <w:t xml:space="preserve">torage space, processing speed, </w:t>
      </w:r>
      <w:r w:rsidRPr="00766165">
        <w:t>I/O bandwidth, network bandwidth etc.). In addition, there is the inherent n</w:t>
      </w:r>
      <w:r>
        <w:t xml:space="preserve">ecessity to rerun analysis over </w:t>
      </w:r>
      <w:r w:rsidRPr="00766165">
        <w:t>time due to the change of the underlying knowledge.</w:t>
      </w:r>
    </w:p>
    <w:p w:rsidR="008A00CE" w:rsidRDefault="008A00CE" w:rsidP="008A00CE"/>
    <w:p w:rsidR="00D22DCB" w:rsidRPr="00766165" w:rsidRDefault="00D22DCB" w:rsidP="008A00CE"/>
    <w:p w:rsidR="008A00CE" w:rsidRPr="00766165" w:rsidRDefault="008A00CE" w:rsidP="008A00CE">
      <w:pPr>
        <w:rPr>
          <w:b/>
        </w:rPr>
      </w:pPr>
      <w:r>
        <w:rPr>
          <w:b/>
        </w:rPr>
        <w:t>Storage and analysis of the human genome</w:t>
      </w:r>
    </w:p>
    <w:p w:rsidR="00D22DCB" w:rsidRDefault="00D22DCB" w:rsidP="008A00CE"/>
    <w:p w:rsidR="008A00CE" w:rsidRDefault="008A00CE" w:rsidP="008A00CE">
      <w:r w:rsidRPr="0061496C">
        <w:t xml:space="preserve">Latest generation DNA sequencing methods are increasingly applied to address the genetic diversity of humans and different organisms affecting health and well-being of human populations. Such sequencing experiments typically yield insufficient data to cover multiple times (as of 2012 roughly 50 times coverage of a given position) the complete human genome </w:t>
      </w:r>
      <w:r w:rsidRPr="0061496C">
        <w:lastRenderedPageBreak/>
        <w:t>with a length of ~3 billion base pairs. Applying such approaches to a large number of different genomic samples exemplified by the “1000 personal genomes project” [alt10] produces a considerable amount of data which is still frequently stored in human readable text files. Such text data formats could and are currently compressed using standard text compression algorithms (i.e. Lempel-Ziv), but such option is by far not the best option if we consider the special format of the genome data for which the information content of a nucleotide sequence with 4 bases has a specific structure that admits more appropriate coding models. Moreover, since the major</w:t>
      </w:r>
      <w:r w:rsidR="00D22DCB">
        <w:t>ity of computer programs depend</w:t>
      </w:r>
      <w:r w:rsidRPr="0061496C">
        <w:t xml:space="preserve"> on a textual input, current practice typically requires repeated cycles of compression and decompression which results inefficiencies. In practice, such an approach is only feasible for some processing/analysis cases. A solution denoted as “compressive genomics” [loh12] suggests to compute specific analysis directly on compressed genomic representations, which means that faster access to data since no decompression is required. Similar approaches are typical in the database world (e.g. access to compressed bitmap indices [wu10]), but are not yet common practice in the domain of genomics.</w:t>
      </w:r>
    </w:p>
    <w:p w:rsidR="00E3532F" w:rsidRDefault="00E3532F" w:rsidP="008A00CE"/>
    <w:p w:rsidR="00D22DCB" w:rsidRPr="0061496C" w:rsidRDefault="00D22DCB" w:rsidP="008A00CE"/>
    <w:p w:rsidR="008A00CE" w:rsidRDefault="008A00CE" w:rsidP="008A00CE">
      <w:pPr>
        <w:rPr>
          <w:b/>
        </w:rPr>
      </w:pPr>
      <w:r>
        <w:rPr>
          <w:b/>
        </w:rPr>
        <w:t>Current status of genome data collection</w:t>
      </w:r>
    </w:p>
    <w:p w:rsidR="00D22DCB" w:rsidRDefault="00D22DCB" w:rsidP="008A00CE"/>
    <w:p w:rsidR="008A00CE" w:rsidRDefault="008A00CE" w:rsidP="008A00CE">
      <w:r w:rsidRPr="004F21A4">
        <w:t>Over the last years, several different reference genomes have been painfully established for humans,</w:t>
      </w:r>
      <w:r>
        <w:t xml:space="preserve"> </w:t>
      </w:r>
      <w:r w:rsidRPr="004F21A4">
        <w:t>some animals and plants. However, since each individual has genetic differences (Single Nucleotide</w:t>
      </w:r>
      <w:r>
        <w:t xml:space="preserve"> </w:t>
      </w:r>
      <w:r w:rsidRPr="004F21A4">
        <w:t>Variant-SNV) with respect to a reference genome, there are currently many different genome analysis</w:t>
      </w:r>
      <w:r>
        <w:t xml:space="preserve"> </w:t>
      </w:r>
      <w:r w:rsidRPr="004F21A4">
        <w:t>projects world-wide (1000 genomes [alt10] www.1000genomes.org, ENCODE [mah12]) with the aim of</w:t>
      </w:r>
      <w:r>
        <w:t xml:space="preserve"> </w:t>
      </w:r>
      <w:r w:rsidRPr="004F21A4">
        <w:t>sequencing individuals. Most of these sequencing efforts use a reference genome as a “golden standard”</w:t>
      </w:r>
      <w:r>
        <w:t xml:space="preserve"> </w:t>
      </w:r>
      <w:r w:rsidRPr="004F21A4">
        <w:t>to assemble and map these individual genomes. Unfortunately, reference genomes represent an</w:t>
      </w:r>
      <w:r>
        <w:t xml:space="preserve"> </w:t>
      </w:r>
      <w:r w:rsidRPr="004F21A4">
        <w:t>“average genome” (e.g. for specific parts of the genome no sequence information is available) and newly</w:t>
      </w:r>
      <w:r>
        <w:t xml:space="preserve"> </w:t>
      </w:r>
      <w:r w:rsidRPr="004F21A4">
        <w:t>sequenced individual genomes, that are mapped on the reference genome, usually suffer from the same</w:t>
      </w:r>
      <w:r>
        <w:t xml:space="preserve"> </w:t>
      </w:r>
      <w:r w:rsidRPr="004F21A4">
        <w:t xml:space="preserve">loss of information. </w:t>
      </w:r>
    </w:p>
    <w:p w:rsidR="00206D38" w:rsidRDefault="00206D38" w:rsidP="00206D38"/>
    <w:p w:rsidR="00206D38" w:rsidRPr="00206D38" w:rsidRDefault="00206D38" w:rsidP="00206D38"/>
    <w:p w:rsidR="00206D38" w:rsidRDefault="00206D38" w:rsidP="00206D38">
      <w:pPr>
        <w:pStyle w:val="Ttulo1"/>
      </w:pPr>
      <w:r>
        <w:t>Draft requirements in genome compression and storage</w:t>
      </w:r>
    </w:p>
    <w:p w:rsidR="00FE13C7" w:rsidRDefault="00D22DCB" w:rsidP="00FE13C7">
      <w:pPr>
        <w:rPr>
          <w:b/>
        </w:rPr>
      </w:pPr>
      <w:r>
        <w:rPr>
          <w:b/>
        </w:rPr>
        <w:t>General</w:t>
      </w:r>
      <w:r w:rsidR="00FE13C7" w:rsidRPr="000007FC">
        <w:rPr>
          <w:b/>
        </w:rPr>
        <w:t xml:space="preserve"> requirements</w:t>
      </w:r>
    </w:p>
    <w:p w:rsidR="00E3532F" w:rsidRDefault="00E3532F" w:rsidP="00FE13C7"/>
    <w:tbl>
      <w:tblPr>
        <w:tblStyle w:val="Tablaconcuadrcula"/>
        <w:tblW w:w="0" w:type="auto"/>
        <w:tblLook w:val="04A0"/>
      </w:tblPr>
      <w:tblGrid>
        <w:gridCol w:w="421"/>
        <w:gridCol w:w="4110"/>
        <w:gridCol w:w="4529"/>
      </w:tblGrid>
      <w:tr w:rsidR="00FE13C7" w:rsidTr="00532D69">
        <w:tc>
          <w:tcPr>
            <w:tcW w:w="421" w:type="dxa"/>
          </w:tcPr>
          <w:p w:rsidR="00FE13C7" w:rsidRDefault="00FE13C7" w:rsidP="00532D69">
            <w:pPr>
              <w:rPr>
                <w:lang w:val="en-US"/>
              </w:rPr>
            </w:pPr>
          </w:p>
        </w:tc>
        <w:tc>
          <w:tcPr>
            <w:tcW w:w="4110" w:type="dxa"/>
          </w:tcPr>
          <w:p w:rsidR="00FE13C7" w:rsidRPr="00CC4EDB" w:rsidRDefault="00FE13C7" w:rsidP="00532D69">
            <w:pPr>
              <w:rPr>
                <w:b/>
                <w:lang w:val="en-US"/>
              </w:rPr>
            </w:pPr>
            <w:r w:rsidRPr="00CC4EDB">
              <w:rPr>
                <w:b/>
                <w:lang w:val="en-US"/>
              </w:rPr>
              <w:t>Requirement</w:t>
            </w:r>
          </w:p>
        </w:tc>
        <w:tc>
          <w:tcPr>
            <w:tcW w:w="4529" w:type="dxa"/>
          </w:tcPr>
          <w:p w:rsidR="00FE13C7" w:rsidRPr="00CC4EDB" w:rsidRDefault="00FE13C7" w:rsidP="00532D69">
            <w:pPr>
              <w:rPr>
                <w:b/>
                <w:lang w:val="en-US"/>
              </w:rPr>
            </w:pPr>
            <w:r w:rsidRPr="00CC4EDB">
              <w:rPr>
                <w:b/>
                <w:lang w:val="en-US"/>
              </w:rPr>
              <w:t>Rationale</w:t>
            </w:r>
          </w:p>
        </w:tc>
      </w:tr>
      <w:tr w:rsidR="00FE13C7" w:rsidTr="00532D69">
        <w:tc>
          <w:tcPr>
            <w:tcW w:w="421" w:type="dxa"/>
          </w:tcPr>
          <w:p w:rsidR="00FE13C7" w:rsidRDefault="00FE13C7" w:rsidP="00532D69">
            <w:pPr>
              <w:rPr>
                <w:lang w:val="en-US"/>
              </w:rPr>
            </w:pPr>
            <w:r>
              <w:rPr>
                <w:lang w:val="en-US"/>
              </w:rPr>
              <w:t>1</w:t>
            </w:r>
          </w:p>
        </w:tc>
        <w:tc>
          <w:tcPr>
            <w:tcW w:w="4110" w:type="dxa"/>
          </w:tcPr>
          <w:p w:rsidR="00FE13C7" w:rsidRPr="005C5CAA" w:rsidRDefault="00FE13C7" w:rsidP="00532D69">
            <w:pPr>
              <w:rPr>
                <w:lang w:val="en-US"/>
              </w:rPr>
            </w:pPr>
            <w:r w:rsidRPr="005C5CAA">
              <w:rPr>
                <w:lang w:val="en-US"/>
              </w:rPr>
              <w:t>Maintain the data integrity produced by the sequencing technology.</w:t>
            </w:r>
          </w:p>
        </w:tc>
        <w:tc>
          <w:tcPr>
            <w:tcW w:w="4529" w:type="dxa"/>
          </w:tcPr>
          <w:p w:rsidR="00FE13C7" w:rsidRDefault="00FE13C7" w:rsidP="00532D69">
            <w:pPr>
              <w:rPr>
                <w:lang w:val="en-US"/>
              </w:rPr>
            </w:pPr>
            <w:r>
              <w:rPr>
                <w:lang w:val="en-US"/>
              </w:rPr>
              <w:t>It shall be possible to revert to the original representation of data (or equivalent) that was produced by the sequencing devices. This is due to leave the possibility to apply newly discovered alignment and mapping approaches to old data.</w:t>
            </w:r>
          </w:p>
        </w:tc>
      </w:tr>
      <w:tr w:rsidR="00FE13C7" w:rsidTr="00532D69">
        <w:tc>
          <w:tcPr>
            <w:tcW w:w="421" w:type="dxa"/>
          </w:tcPr>
          <w:p w:rsidR="00FE13C7" w:rsidRDefault="00FE13C7" w:rsidP="00532D69">
            <w:pPr>
              <w:rPr>
                <w:lang w:val="en-US"/>
              </w:rPr>
            </w:pPr>
            <w:r>
              <w:rPr>
                <w:lang w:val="en-US"/>
              </w:rPr>
              <w:t>2</w:t>
            </w:r>
          </w:p>
        </w:tc>
        <w:tc>
          <w:tcPr>
            <w:tcW w:w="4110" w:type="dxa"/>
          </w:tcPr>
          <w:p w:rsidR="00FE13C7" w:rsidRPr="005C5CAA" w:rsidRDefault="00FE13C7" w:rsidP="00532D69">
            <w:pPr>
              <w:rPr>
                <w:lang w:val="en-US"/>
              </w:rPr>
            </w:pPr>
            <w:r w:rsidRPr="005C5CAA">
              <w:rPr>
                <w:lang w:val="en-US"/>
              </w:rPr>
              <w:t>Compressed data should be structured into data access units.</w:t>
            </w:r>
          </w:p>
          <w:p w:rsidR="00FE13C7" w:rsidRDefault="00FE13C7" w:rsidP="00532D69">
            <w:pPr>
              <w:rPr>
                <w:lang w:val="en-US"/>
              </w:rPr>
            </w:pPr>
          </w:p>
        </w:tc>
        <w:tc>
          <w:tcPr>
            <w:tcW w:w="4529" w:type="dxa"/>
          </w:tcPr>
          <w:p w:rsidR="00FE13C7" w:rsidRDefault="00FE13C7" w:rsidP="00532D69">
            <w:pPr>
              <w:rPr>
                <w:lang w:val="en-US"/>
              </w:rPr>
            </w:pPr>
            <w:r>
              <w:rPr>
                <w:lang w:val="en-US"/>
              </w:rPr>
              <w:t xml:space="preserve">Access to data shall work in terms of Access Units that be accessed without the need to decompress the whole genomic information. I.e. selective access and manipulation shall be supported. </w:t>
            </w:r>
          </w:p>
        </w:tc>
      </w:tr>
      <w:tr w:rsidR="00FE13C7" w:rsidTr="00532D69">
        <w:tc>
          <w:tcPr>
            <w:tcW w:w="421" w:type="dxa"/>
          </w:tcPr>
          <w:p w:rsidR="00FE13C7" w:rsidRDefault="00FE13C7" w:rsidP="00532D69">
            <w:pPr>
              <w:rPr>
                <w:lang w:val="en-US"/>
              </w:rPr>
            </w:pPr>
            <w:r>
              <w:rPr>
                <w:lang w:val="en-US"/>
              </w:rPr>
              <w:lastRenderedPageBreak/>
              <w:t>3</w:t>
            </w:r>
          </w:p>
        </w:tc>
        <w:tc>
          <w:tcPr>
            <w:tcW w:w="4110" w:type="dxa"/>
          </w:tcPr>
          <w:p w:rsidR="00FE13C7" w:rsidRDefault="00FE13C7" w:rsidP="00532D69">
            <w:pPr>
              <w:rPr>
                <w:lang w:val="en-US"/>
              </w:rPr>
            </w:pPr>
            <w:r w:rsidRPr="000007FC">
              <w:rPr>
                <w:lang w:val="en-US"/>
              </w:rPr>
              <w:t>Access units should be able to contain variable size sequence lengths.</w:t>
            </w:r>
          </w:p>
        </w:tc>
        <w:tc>
          <w:tcPr>
            <w:tcW w:w="4529" w:type="dxa"/>
          </w:tcPr>
          <w:p w:rsidR="00FE13C7" w:rsidRDefault="00FE13C7" w:rsidP="00532D69">
            <w:pPr>
              <w:rPr>
                <w:lang w:val="en-US"/>
              </w:rPr>
            </w:pPr>
            <w:r>
              <w:rPr>
                <w:lang w:val="en-US"/>
              </w:rPr>
              <w:t>Sequences lengths heavily vary with the sequencing device and will keep changing with new sequencing technologies going to the market. While Access Units can have a fixed for a specific application, the standard shall support variable reads lengths.</w:t>
            </w:r>
          </w:p>
        </w:tc>
      </w:tr>
      <w:tr w:rsidR="00FE13C7" w:rsidTr="00532D69">
        <w:tc>
          <w:tcPr>
            <w:tcW w:w="421" w:type="dxa"/>
          </w:tcPr>
          <w:p w:rsidR="00FE13C7" w:rsidRDefault="00FE13C7" w:rsidP="00532D69">
            <w:pPr>
              <w:rPr>
                <w:lang w:val="en-US"/>
              </w:rPr>
            </w:pPr>
            <w:r>
              <w:rPr>
                <w:lang w:val="en-US"/>
              </w:rPr>
              <w:t>4</w:t>
            </w:r>
          </w:p>
        </w:tc>
        <w:tc>
          <w:tcPr>
            <w:tcW w:w="4110" w:type="dxa"/>
          </w:tcPr>
          <w:p w:rsidR="00FE13C7" w:rsidRPr="005C5CAA" w:rsidRDefault="00FE13C7" w:rsidP="00532D69">
            <w:pPr>
              <w:rPr>
                <w:lang w:val="en-US"/>
              </w:rPr>
            </w:pPr>
            <w:r w:rsidRPr="005C5CAA">
              <w:rPr>
                <w:lang w:val="en-US"/>
              </w:rPr>
              <w:t>Data should be “</w:t>
            </w:r>
            <w:proofErr w:type="spellStart"/>
            <w:r w:rsidRPr="005C5CAA">
              <w:rPr>
                <w:lang w:val="en-US"/>
              </w:rPr>
              <w:t>queryable</w:t>
            </w:r>
            <w:proofErr w:type="spellEnd"/>
            <w:r w:rsidRPr="005C5CAA">
              <w:rPr>
                <w:lang w:val="en-US"/>
              </w:rPr>
              <w:t>”.</w:t>
            </w:r>
          </w:p>
          <w:p w:rsidR="00FE13C7" w:rsidRDefault="00FE13C7" w:rsidP="00532D69">
            <w:pPr>
              <w:rPr>
                <w:lang w:val="en-US"/>
              </w:rPr>
            </w:pPr>
          </w:p>
        </w:tc>
        <w:tc>
          <w:tcPr>
            <w:tcW w:w="4529" w:type="dxa"/>
          </w:tcPr>
          <w:p w:rsidR="00FE13C7" w:rsidRDefault="00FE13C7" w:rsidP="00532D69">
            <w:pPr>
              <w:rPr>
                <w:lang w:val="en-US"/>
              </w:rPr>
            </w:pPr>
            <w:r>
              <w:rPr>
                <w:lang w:val="en-US"/>
              </w:rPr>
              <w:t>The data set structured according to the standard shall be accessible using queries such as:</w:t>
            </w:r>
          </w:p>
          <w:p w:rsidR="00FE13C7" w:rsidRDefault="00FE13C7" w:rsidP="00FE13C7">
            <w:pPr>
              <w:pStyle w:val="Prrafodelista"/>
              <w:numPr>
                <w:ilvl w:val="0"/>
                <w:numId w:val="3"/>
              </w:numPr>
              <w:spacing w:after="0" w:line="240" w:lineRule="auto"/>
              <w:jc w:val="both"/>
              <w:rPr>
                <w:rFonts w:ascii="Times New Roman" w:hAnsi="Times New Roman" w:cs="Times New Roman"/>
                <w:lang w:val="en-US"/>
              </w:rPr>
            </w:pPr>
            <w:r w:rsidRPr="005C5CAA">
              <w:rPr>
                <w:rFonts w:ascii="Times New Roman" w:hAnsi="Times New Roman" w:cs="Times New Roman"/>
                <w:lang w:val="en-US"/>
              </w:rPr>
              <w:t>“search</w:t>
            </w:r>
            <w:r>
              <w:rPr>
                <w:rFonts w:ascii="Times New Roman" w:hAnsi="Times New Roman" w:cs="Times New Roman"/>
                <w:lang w:val="en-US"/>
              </w:rPr>
              <w:t xml:space="preserve"> for the first</w:t>
            </w:r>
            <w:r w:rsidRPr="005C5CAA">
              <w:rPr>
                <w:rFonts w:ascii="Times New Roman" w:hAnsi="Times New Roman" w:cs="Times New Roman"/>
                <w:lang w:val="en-US"/>
              </w:rPr>
              <w:t xml:space="preserve"> match for a given sample” </w:t>
            </w:r>
          </w:p>
          <w:p w:rsidR="00FE13C7" w:rsidRDefault="00FE13C7" w:rsidP="00FE13C7">
            <w:pPr>
              <w:pStyle w:val="Prrafodelista"/>
              <w:numPr>
                <w:ilvl w:val="0"/>
                <w:numId w:val="3"/>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“search all </w:t>
            </w:r>
            <w:proofErr w:type="spellStart"/>
            <w:r>
              <w:rPr>
                <w:rFonts w:ascii="Times New Roman" w:hAnsi="Times New Roman" w:cs="Times New Roman"/>
                <w:lang w:val="en-US"/>
              </w:rPr>
              <w:t>occurrencies</w:t>
            </w:r>
            <w:proofErr w:type="spellEnd"/>
            <w:r>
              <w:rPr>
                <w:rFonts w:ascii="Times New Roman" w:hAnsi="Times New Roman" w:cs="Times New Roman"/>
                <w:lang w:val="en-US"/>
              </w:rPr>
              <w:t xml:space="preserve"> of a sample”</w:t>
            </w:r>
          </w:p>
          <w:p w:rsidR="00FE13C7" w:rsidRPr="005C5CAA" w:rsidRDefault="00FE13C7" w:rsidP="00FE13C7">
            <w:pPr>
              <w:pStyle w:val="Prrafodelista"/>
              <w:numPr>
                <w:ilvl w:val="0"/>
                <w:numId w:val="3"/>
              </w:numPr>
              <w:spacing w:after="0" w:line="240" w:lineRule="auto"/>
              <w:jc w:val="both"/>
              <w:rPr>
                <w:rFonts w:ascii="Times New Roman" w:hAnsi="Times New Roman" w:cs="Times New Roman"/>
                <w:lang w:val="en-US"/>
              </w:rPr>
            </w:pPr>
            <w:r>
              <w:rPr>
                <w:rFonts w:ascii="Times New Roman" w:hAnsi="Times New Roman" w:cs="Times New Roman"/>
                <w:lang w:val="en-US"/>
              </w:rPr>
              <w:t>“go to a specific location and dump the content”</w:t>
            </w:r>
          </w:p>
        </w:tc>
      </w:tr>
      <w:tr w:rsidR="00FE13C7" w:rsidTr="00532D69">
        <w:tc>
          <w:tcPr>
            <w:tcW w:w="421" w:type="dxa"/>
          </w:tcPr>
          <w:p w:rsidR="00FE13C7" w:rsidRDefault="00FE13C7" w:rsidP="00532D69">
            <w:pPr>
              <w:rPr>
                <w:lang w:val="en-US"/>
              </w:rPr>
            </w:pPr>
            <w:r>
              <w:rPr>
                <w:lang w:val="en-US"/>
              </w:rPr>
              <w:t>5</w:t>
            </w:r>
          </w:p>
        </w:tc>
        <w:tc>
          <w:tcPr>
            <w:tcW w:w="4110" w:type="dxa"/>
          </w:tcPr>
          <w:p w:rsidR="00FE13C7" w:rsidRDefault="00FE13C7" w:rsidP="00532D69">
            <w:pPr>
              <w:rPr>
                <w:lang w:val="en-US"/>
              </w:rPr>
            </w:pPr>
            <w:r w:rsidRPr="000007FC">
              <w:rPr>
                <w:lang w:val="en-US"/>
              </w:rPr>
              <w:t>Stored sequence data should be extensible allowing adding or modifying sequencing information. Such modifications should be traceable, reversible and incremental.</w:t>
            </w:r>
          </w:p>
        </w:tc>
        <w:tc>
          <w:tcPr>
            <w:tcW w:w="4529" w:type="dxa"/>
          </w:tcPr>
          <w:p w:rsidR="00FE13C7" w:rsidRDefault="00FE13C7" w:rsidP="00532D69">
            <w:pPr>
              <w:rPr>
                <w:lang w:val="en-US"/>
              </w:rPr>
            </w:pPr>
            <w:r>
              <w:rPr>
                <w:lang w:val="en-US"/>
              </w:rPr>
              <w:t>An existing dataset shall support update, revert, history, diff operations.</w:t>
            </w:r>
          </w:p>
          <w:p w:rsidR="00FE13C7" w:rsidRDefault="00FE13C7" w:rsidP="00532D69">
            <w:pPr>
              <w:rPr>
                <w:lang w:val="en-US"/>
              </w:rPr>
            </w:pPr>
            <w:r>
              <w:rPr>
                <w:lang w:val="en-US"/>
              </w:rPr>
              <w:t>For each operation support for integrity and correctness checks is recommended.</w:t>
            </w:r>
          </w:p>
        </w:tc>
      </w:tr>
      <w:tr w:rsidR="00FE13C7" w:rsidTr="00532D69">
        <w:tc>
          <w:tcPr>
            <w:tcW w:w="421" w:type="dxa"/>
          </w:tcPr>
          <w:p w:rsidR="00FE13C7" w:rsidRDefault="00FE13C7" w:rsidP="00532D69">
            <w:pPr>
              <w:rPr>
                <w:lang w:val="en-US"/>
              </w:rPr>
            </w:pPr>
            <w:r>
              <w:rPr>
                <w:lang w:val="en-US"/>
              </w:rPr>
              <w:t>6</w:t>
            </w:r>
          </w:p>
        </w:tc>
        <w:tc>
          <w:tcPr>
            <w:tcW w:w="4110" w:type="dxa"/>
          </w:tcPr>
          <w:p w:rsidR="00FE13C7" w:rsidRDefault="00FE13C7" w:rsidP="00532D69">
            <w:pPr>
              <w:rPr>
                <w:lang w:val="en-US"/>
              </w:rPr>
            </w:pPr>
            <w:r w:rsidRPr="000007FC">
              <w:rPr>
                <w:lang w:val="en-US"/>
              </w:rPr>
              <w:t xml:space="preserve">Compressed data formats should be able to integrate annotations - e.g. features on a given region, </w:t>
            </w:r>
            <w:r w:rsidRPr="00C2584D">
              <w:rPr>
                <w:b/>
                <w:lang w:val="en-US"/>
              </w:rPr>
              <w:t>non-contiguous</w:t>
            </w:r>
            <w:r w:rsidRPr="000007FC">
              <w:rPr>
                <w:lang w:val="en-US"/>
              </w:rPr>
              <w:t xml:space="preserve"> </w:t>
            </w:r>
            <w:r>
              <w:rPr>
                <w:lang w:val="en-US"/>
              </w:rPr>
              <w:t xml:space="preserve">(this is the most important of all) </w:t>
            </w:r>
            <w:r w:rsidRPr="000007FC">
              <w:rPr>
                <w:lang w:val="en-US"/>
              </w:rPr>
              <w:t>regions of the data structure.</w:t>
            </w:r>
          </w:p>
        </w:tc>
        <w:tc>
          <w:tcPr>
            <w:tcW w:w="4529" w:type="dxa"/>
          </w:tcPr>
          <w:p w:rsidR="00FE13C7" w:rsidRDefault="00FE13C7" w:rsidP="00532D69">
            <w:pPr>
              <w:rPr>
                <w:lang w:val="en-US"/>
              </w:rPr>
            </w:pPr>
            <w:r>
              <w:rPr>
                <w:lang w:val="en-US"/>
              </w:rPr>
              <w:t>Annotations are metadata that are used for example to indicate relations between reads located at different spatial locations.</w:t>
            </w:r>
          </w:p>
        </w:tc>
      </w:tr>
      <w:tr w:rsidR="00FE13C7" w:rsidTr="00532D69">
        <w:tc>
          <w:tcPr>
            <w:tcW w:w="421" w:type="dxa"/>
          </w:tcPr>
          <w:p w:rsidR="00FE13C7" w:rsidRDefault="00FE13C7" w:rsidP="00532D69">
            <w:pPr>
              <w:rPr>
                <w:lang w:val="en-US"/>
              </w:rPr>
            </w:pPr>
            <w:r>
              <w:rPr>
                <w:lang w:val="en-US"/>
              </w:rPr>
              <w:t>7</w:t>
            </w:r>
          </w:p>
        </w:tc>
        <w:tc>
          <w:tcPr>
            <w:tcW w:w="4110" w:type="dxa"/>
          </w:tcPr>
          <w:p w:rsidR="00FE13C7" w:rsidRPr="000007FC" w:rsidRDefault="00FE13C7" w:rsidP="00532D69">
            <w:pPr>
              <w:rPr>
                <w:lang w:val="en-US"/>
              </w:rPr>
            </w:pPr>
            <w:r>
              <w:rPr>
                <w:lang w:val="en-US"/>
              </w:rPr>
              <w:t>The nucleotide information shall support at least the 16 IUPAC codes but shall be able to encode more in the future</w:t>
            </w:r>
          </w:p>
        </w:tc>
        <w:tc>
          <w:tcPr>
            <w:tcW w:w="4529" w:type="dxa"/>
          </w:tcPr>
          <w:p w:rsidR="00FE13C7" w:rsidRDefault="00FE13C7" w:rsidP="00532D69">
            <w:pPr>
              <w:rPr>
                <w:lang w:val="en-US"/>
              </w:rPr>
            </w:pPr>
            <w:r>
              <w:rPr>
                <w:lang w:val="en-US"/>
              </w:rPr>
              <w:t>This is required to support the coding of other genomic data such as amino acids. For example basic “profiles” could support only the 16 IUPAC codes while extended ones would be able to additionally encode the 23 amino acids codes.</w:t>
            </w:r>
          </w:p>
        </w:tc>
      </w:tr>
    </w:tbl>
    <w:p w:rsidR="00FE13C7" w:rsidRDefault="00FE13C7" w:rsidP="00FE13C7"/>
    <w:p w:rsidR="00D22DCB" w:rsidRDefault="00D22DCB" w:rsidP="00FE13C7"/>
    <w:p w:rsidR="00FE13C7" w:rsidRDefault="00FE13C7" w:rsidP="00FE13C7">
      <w:pPr>
        <w:rPr>
          <w:b/>
        </w:rPr>
      </w:pPr>
      <w:r>
        <w:rPr>
          <w:b/>
        </w:rPr>
        <w:t>Data security-related requirements</w:t>
      </w:r>
    </w:p>
    <w:p w:rsidR="00D22DCB" w:rsidRDefault="00D22DCB" w:rsidP="00FE13C7"/>
    <w:p w:rsidR="00FE13C7" w:rsidRDefault="00FE13C7" w:rsidP="00FE13C7">
      <w:r>
        <w:t>Genome data normally comes either from (anonymous) people who provide their data for general analysis or from patients whose health status is specifically analyzed. This implies that security (in general terms) is key when formatting, processing, storing and interchanging genome data.</w:t>
      </w:r>
    </w:p>
    <w:p w:rsidR="00D22DCB" w:rsidRDefault="00D22DCB" w:rsidP="00FE13C7"/>
    <w:p w:rsidR="00FE13C7" w:rsidRDefault="00FE13C7" w:rsidP="00FE13C7">
      <w:r>
        <w:t>The security-related requirements could be summarized as follow:</w:t>
      </w:r>
    </w:p>
    <w:p w:rsidR="00FE13C7" w:rsidRDefault="00FE13C7" w:rsidP="00FE13C7"/>
    <w:tbl>
      <w:tblPr>
        <w:tblStyle w:val="Tablaconcuadrcula"/>
        <w:tblW w:w="0" w:type="auto"/>
        <w:tblLook w:val="04A0"/>
      </w:tblPr>
      <w:tblGrid>
        <w:gridCol w:w="436"/>
        <w:gridCol w:w="4103"/>
        <w:gridCol w:w="4521"/>
      </w:tblGrid>
      <w:tr w:rsidR="00FE13C7" w:rsidTr="00532D69">
        <w:tc>
          <w:tcPr>
            <w:tcW w:w="436" w:type="dxa"/>
          </w:tcPr>
          <w:p w:rsidR="00FE13C7" w:rsidRDefault="00FE13C7" w:rsidP="00532D69">
            <w:pPr>
              <w:rPr>
                <w:lang w:val="en-US"/>
              </w:rPr>
            </w:pPr>
          </w:p>
        </w:tc>
        <w:tc>
          <w:tcPr>
            <w:tcW w:w="4103" w:type="dxa"/>
          </w:tcPr>
          <w:p w:rsidR="00FE13C7" w:rsidRPr="00CC4EDB" w:rsidRDefault="00FE13C7" w:rsidP="00532D69">
            <w:pPr>
              <w:rPr>
                <w:b/>
                <w:lang w:val="en-US"/>
              </w:rPr>
            </w:pPr>
            <w:r w:rsidRPr="00CC4EDB">
              <w:rPr>
                <w:b/>
                <w:lang w:val="en-US"/>
              </w:rPr>
              <w:t>Requirement</w:t>
            </w:r>
          </w:p>
        </w:tc>
        <w:tc>
          <w:tcPr>
            <w:tcW w:w="4521" w:type="dxa"/>
          </w:tcPr>
          <w:p w:rsidR="00FE13C7" w:rsidRPr="00CC4EDB" w:rsidRDefault="00FE13C7" w:rsidP="00532D69">
            <w:pPr>
              <w:rPr>
                <w:b/>
                <w:lang w:val="en-US"/>
              </w:rPr>
            </w:pPr>
            <w:r w:rsidRPr="00CC4EDB">
              <w:rPr>
                <w:b/>
                <w:lang w:val="en-US"/>
              </w:rPr>
              <w:t>Rationale</w:t>
            </w:r>
          </w:p>
        </w:tc>
      </w:tr>
      <w:tr w:rsidR="00FE13C7" w:rsidTr="00532D69">
        <w:tc>
          <w:tcPr>
            <w:tcW w:w="436" w:type="dxa"/>
          </w:tcPr>
          <w:p w:rsidR="00FE13C7" w:rsidRDefault="00FE13C7" w:rsidP="00532D69">
            <w:pPr>
              <w:rPr>
                <w:lang w:val="en-US"/>
              </w:rPr>
            </w:pPr>
            <w:r>
              <w:rPr>
                <w:lang w:val="en-US"/>
              </w:rPr>
              <w:t>8</w:t>
            </w:r>
          </w:p>
        </w:tc>
        <w:tc>
          <w:tcPr>
            <w:tcW w:w="4103" w:type="dxa"/>
          </w:tcPr>
          <w:p w:rsidR="00FE13C7" w:rsidRPr="001008AC" w:rsidRDefault="00D22DCB" w:rsidP="00532D69">
            <w:pPr>
              <w:rPr>
                <w:lang w:val="en-US"/>
              </w:rPr>
            </w:pPr>
            <w:r>
              <w:rPr>
                <w:lang w:val="en-US"/>
              </w:rPr>
              <w:t>Data protection.</w:t>
            </w:r>
          </w:p>
        </w:tc>
        <w:tc>
          <w:tcPr>
            <w:tcW w:w="4521" w:type="dxa"/>
          </w:tcPr>
          <w:p w:rsidR="00FE13C7" w:rsidRPr="001008AC" w:rsidRDefault="00FE13C7" w:rsidP="00532D69">
            <w:pPr>
              <w:rPr>
                <w:lang w:val="en-US"/>
              </w:rPr>
            </w:pPr>
            <w:r w:rsidRPr="001008AC">
              <w:rPr>
                <w:lang w:val="en-US"/>
              </w:rPr>
              <w:t>Ability to prevent unauthorized access.</w:t>
            </w:r>
          </w:p>
        </w:tc>
      </w:tr>
      <w:tr w:rsidR="00FE13C7" w:rsidTr="00532D69">
        <w:tc>
          <w:tcPr>
            <w:tcW w:w="436" w:type="dxa"/>
          </w:tcPr>
          <w:p w:rsidR="00FE13C7" w:rsidRDefault="00FE13C7" w:rsidP="00532D69">
            <w:pPr>
              <w:rPr>
                <w:lang w:val="en-US"/>
              </w:rPr>
            </w:pPr>
            <w:r>
              <w:rPr>
                <w:lang w:val="en-US"/>
              </w:rPr>
              <w:t>9</w:t>
            </w:r>
          </w:p>
        </w:tc>
        <w:tc>
          <w:tcPr>
            <w:tcW w:w="4103" w:type="dxa"/>
          </w:tcPr>
          <w:p w:rsidR="00FE13C7" w:rsidRDefault="00FE13C7" w:rsidP="00532D69">
            <w:pPr>
              <w:rPr>
                <w:lang w:val="en-US"/>
              </w:rPr>
            </w:pPr>
            <w:r w:rsidRPr="001008AC">
              <w:rPr>
                <w:lang w:val="en-US"/>
              </w:rPr>
              <w:t xml:space="preserve">Support for </w:t>
            </w:r>
            <w:proofErr w:type="spellStart"/>
            <w:r w:rsidRPr="001008AC">
              <w:rPr>
                <w:lang w:val="en-US"/>
              </w:rPr>
              <w:t>anonymization</w:t>
            </w:r>
            <w:proofErr w:type="spellEnd"/>
            <w:r w:rsidRPr="001008AC">
              <w:rPr>
                <w:lang w:val="en-US"/>
              </w:rPr>
              <w:t>, when requested.</w:t>
            </w:r>
          </w:p>
        </w:tc>
        <w:tc>
          <w:tcPr>
            <w:tcW w:w="4521" w:type="dxa"/>
          </w:tcPr>
          <w:p w:rsidR="00FE13C7" w:rsidRDefault="00FE13C7" w:rsidP="00532D69">
            <w:pPr>
              <w:rPr>
                <w:lang w:val="en-US"/>
              </w:rPr>
            </w:pPr>
            <w:r>
              <w:rPr>
                <w:lang w:val="en-US"/>
              </w:rPr>
              <w:t>Data shall be made anonymous in such a way that there is no way to retrieve the identity of the originating organism (especially human) while preserving all the genomic information for analysis.</w:t>
            </w:r>
          </w:p>
        </w:tc>
      </w:tr>
      <w:tr w:rsidR="00FE13C7" w:rsidTr="00532D69">
        <w:tc>
          <w:tcPr>
            <w:tcW w:w="436" w:type="dxa"/>
          </w:tcPr>
          <w:p w:rsidR="00FE13C7" w:rsidRDefault="00D22DCB" w:rsidP="00532D69">
            <w:pPr>
              <w:rPr>
                <w:lang w:val="en-US"/>
              </w:rPr>
            </w:pPr>
            <w:r>
              <w:rPr>
                <w:lang w:val="en-US"/>
              </w:rPr>
              <w:t>10</w:t>
            </w:r>
          </w:p>
        </w:tc>
        <w:tc>
          <w:tcPr>
            <w:tcW w:w="4103" w:type="dxa"/>
          </w:tcPr>
          <w:p w:rsidR="00FE13C7" w:rsidRPr="001008AC" w:rsidRDefault="00FE13C7" w:rsidP="00532D69">
            <w:pPr>
              <w:rPr>
                <w:lang w:val="en-US"/>
              </w:rPr>
            </w:pPr>
            <w:r w:rsidRPr="001008AC">
              <w:rPr>
                <w:lang w:val="en-US"/>
              </w:rPr>
              <w:t>Privacy and confidentiality</w:t>
            </w:r>
            <w:r>
              <w:rPr>
                <w:lang w:val="en-US"/>
              </w:rPr>
              <w:t>.</w:t>
            </w:r>
          </w:p>
        </w:tc>
        <w:tc>
          <w:tcPr>
            <w:tcW w:w="4521" w:type="dxa"/>
          </w:tcPr>
          <w:p w:rsidR="00FE13C7" w:rsidRPr="001008AC" w:rsidRDefault="00FE13C7" w:rsidP="00532D69">
            <w:pPr>
              <w:rPr>
                <w:lang w:val="en-US"/>
              </w:rPr>
            </w:pPr>
            <w:r w:rsidRPr="001008AC">
              <w:rPr>
                <w:lang w:val="en-US"/>
              </w:rPr>
              <w:t xml:space="preserve">Knowing, by non-authorized agents, sensible data about the health of a person has to be avoided. Furthermore, individuals should be </w:t>
            </w:r>
            <w:r w:rsidRPr="001008AC">
              <w:rPr>
                <w:lang w:val="en-US"/>
              </w:rPr>
              <w:lastRenderedPageBreak/>
              <w:t>allowed to decide their required level of privacy.</w:t>
            </w:r>
          </w:p>
        </w:tc>
      </w:tr>
      <w:tr w:rsidR="00FE13C7" w:rsidTr="00532D69">
        <w:tc>
          <w:tcPr>
            <w:tcW w:w="436" w:type="dxa"/>
          </w:tcPr>
          <w:p w:rsidR="00FE13C7" w:rsidRDefault="00D22DCB" w:rsidP="00532D69">
            <w:pPr>
              <w:rPr>
                <w:lang w:val="en-US"/>
              </w:rPr>
            </w:pPr>
            <w:r>
              <w:rPr>
                <w:lang w:val="en-US"/>
              </w:rPr>
              <w:lastRenderedPageBreak/>
              <w:t>11</w:t>
            </w:r>
          </w:p>
        </w:tc>
        <w:tc>
          <w:tcPr>
            <w:tcW w:w="4103" w:type="dxa"/>
          </w:tcPr>
          <w:p w:rsidR="00FE13C7" w:rsidRDefault="00FE13C7" w:rsidP="00532D69">
            <w:pPr>
              <w:rPr>
                <w:lang w:val="en-US"/>
              </w:rPr>
            </w:pPr>
            <w:r w:rsidRPr="001008AC">
              <w:rPr>
                <w:lang w:val="en-US"/>
              </w:rPr>
              <w:t>Transparency</w:t>
            </w:r>
          </w:p>
        </w:tc>
        <w:tc>
          <w:tcPr>
            <w:tcW w:w="4521" w:type="dxa"/>
          </w:tcPr>
          <w:p w:rsidR="00FE13C7" w:rsidRDefault="00FE13C7" w:rsidP="00532D69">
            <w:pPr>
              <w:rPr>
                <w:lang w:val="en-US"/>
              </w:rPr>
            </w:pPr>
            <w:r>
              <w:rPr>
                <w:lang w:val="en-US"/>
              </w:rPr>
              <w:t>H</w:t>
            </w:r>
            <w:r w:rsidRPr="001008AC">
              <w:rPr>
                <w:lang w:val="en-US"/>
              </w:rPr>
              <w:t>ow and for which purpose the information is used should be known.</w:t>
            </w:r>
            <w:r>
              <w:rPr>
                <w:lang w:val="en-US"/>
              </w:rPr>
              <w:t xml:space="preserve"> Usage restriction shall be applicable to the data.</w:t>
            </w:r>
          </w:p>
        </w:tc>
      </w:tr>
      <w:tr w:rsidR="00FE13C7" w:rsidTr="00532D69">
        <w:tc>
          <w:tcPr>
            <w:tcW w:w="436" w:type="dxa"/>
          </w:tcPr>
          <w:p w:rsidR="00FE13C7" w:rsidRDefault="00D22DCB" w:rsidP="00532D69">
            <w:pPr>
              <w:rPr>
                <w:lang w:val="en-US"/>
              </w:rPr>
            </w:pPr>
            <w:r>
              <w:rPr>
                <w:lang w:val="en-US"/>
              </w:rPr>
              <w:t>12</w:t>
            </w:r>
          </w:p>
        </w:tc>
        <w:tc>
          <w:tcPr>
            <w:tcW w:w="4103" w:type="dxa"/>
          </w:tcPr>
          <w:p w:rsidR="00FE13C7" w:rsidRDefault="00FE13C7" w:rsidP="00356202">
            <w:pPr>
              <w:rPr>
                <w:lang w:val="en-US"/>
              </w:rPr>
            </w:pPr>
            <w:r w:rsidRPr="001008AC">
              <w:rPr>
                <w:lang w:val="en-US"/>
              </w:rPr>
              <w:t>Accountability and traceability.</w:t>
            </w:r>
          </w:p>
        </w:tc>
        <w:tc>
          <w:tcPr>
            <w:tcW w:w="4521" w:type="dxa"/>
          </w:tcPr>
          <w:p w:rsidR="00FE13C7" w:rsidRDefault="00FE13C7" w:rsidP="00532D69">
            <w:pPr>
              <w:rPr>
                <w:lang w:val="en-US"/>
              </w:rPr>
            </w:pPr>
            <w:r>
              <w:rPr>
                <w:lang w:val="en-US"/>
              </w:rPr>
              <w:t>Data access and manipulation shall be traceable together with the identity of parties having access to data.</w:t>
            </w:r>
          </w:p>
        </w:tc>
      </w:tr>
    </w:tbl>
    <w:p w:rsidR="00FE13C7" w:rsidRDefault="00FE13C7" w:rsidP="00FE13C7"/>
    <w:p w:rsidR="00356202" w:rsidRDefault="00356202" w:rsidP="00FE13C7"/>
    <w:p w:rsidR="00FE13C7" w:rsidRPr="00660E6D" w:rsidRDefault="00FE13C7" w:rsidP="00FE13C7">
      <w:pPr>
        <w:rPr>
          <w:b/>
        </w:rPr>
      </w:pPr>
      <w:r w:rsidRPr="00660E6D">
        <w:rPr>
          <w:b/>
        </w:rPr>
        <w:t>Use of existing MPEG (and non-MPEG) standards</w:t>
      </w:r>
    </w:p>
    <w:p w:rsidR="00356202" w:rsidRDefault="00356202" w:rsidP="00FE13C7"/>
    <w:p w:rsidR="00FE13C7" w:rsidRDefault="00FE13C7" w:rsidP="00FE13C7">
      <w:r>
        <w:t>Where possible, MPEG standards, or even non-MPEG ones, should be used to provide the identified requirements.</w:t>
      </w:r>
    </w:p>
    <w:p w:rsidR="00356202" w:rsidRDefault="00356202" w:rsidP="00FE13C7"/>
    <w:p w:rsidR="00FE13C7" w:rsidRDefault="00FE13C7" w:rsidP="00FE13C7">
      <w:r>
        <w:t>Initial examples (although further discussion and consideration is needed) could include MPEG-21 Event Reporting for traceability and transparency; or MPEG-21 IPMP, REL/MVCO and CEL/MCO for data protection and privacy.</w:t>
      </w:r>
    </w:p>
    <w:p w:rsidR="00356202" w:rsidRPr="004A0D91" w:rsidRDefault="00356202" w:rsidP="00FE13C7"/>
    <w:p w:rsidR="00FE13C7" w:rsidRDefault="00FE13C7" w:rsidP="00FE13C7">
      <w:pPr>
        <w:pStyle w:val="Ttulo1"/>
      </w:pPr>
      <w:r>
        <w:t>Conclusion</w:t>
      </w:r>
    </w:p>
    <w:p w:rsidR="003452BA" w:rsidRDefault="003452BA" w:rsidP="003452BA">
      <w:r>
        <w:t xml:space="preserve">The vast amount of genome data currently generated by the different sequencing projects raises the issue of efficient storage and processing of genome data satisfying several specific requirements. Such challenges imply the use/existence of an appropriate </w:t>
      </w:r>
      <w:r w:rsidRPr="003D7A40">
        <w:rPr>
          <w:b/>
        </w:rPr>
        <w:t>open standard</w:t>
      </w:r>
      <w:r>
        <w:t xml:space="preserve"> for both compression and storage, that might have common properties or in part use existing technology applied so far to audio/video and 3DG signals, but that currently does</w:t>
      </w:r>
      <w:r w:rsidR="00356202">
        <w:t xml:space="preserve"> not exist.</w:t>
      </w:r>
    </w:p>
    <w:p w:rsidR="00E3532F" w:rsidRDefault="00E3532F" w:rsidP="003452BA"/>
    <w:p w:rsidR="003452BA" w:rsidRDefault="003452BA" w:rsidP="003452BA">
      <w:r>
        <w:t xml:space="preserve">A solution that meets the requirements listed in this document would enable the scientific and industrial community working on genomic information to address the challenges of a domain where </w:t>
      </w:r>
      <w:r w:rsidRPr="00557BDB">
        <w:t>the variety am</w:t>
      </w:r>
      <w:r>
        <w:t>ongst individuals is higher than they</w:t>
      </w:r>
      <w:r w:rsidRPr="00557BDB">
        <w:t xml:space="preserve"> were expecting </w:t>
      </w:r>
      <w:r>
        <w:t>only a few years ago.</w:t>
      </w:r>
    </w:p>
    <w:p w:rsidR="00E3532F" w:rsidRDefault="00E3532F" w:rsidP="003452BA"/>
    <w:p w:rsidR="003452BA" w:rsidRPr="00766165" w:rsidRDefault="003452BA" w:rsidP="003452BA">
      <w:r>
        <w:t xml:space="preserve">The two driving elements of the design process should be on one side the reuse of existing well-established technologies for compression, storage, </w:t>
      </w:r>
      <w:r w:rsidR="00356202">
        <w:t>privacy and security,</w:t>
      </w:r>
      <w:r>
        <w:t xml:space="preserve"> etc. (e.g. MPEG compression schemes, MPEG</w:t>
      </w:r>
      <w:r w:rsidR="00356202">
        <w:t>-21</w:t>
      </w:r>
      <w:r>
        <w:t>), and on the other the flexibility to incrementally address current and future needs without being bound to specific application constraints.</w:t>
      </w:r>
    </w:p>
    <w:p w:rsidR="003452BA" w:rsidRDefault="003452BA" w:rsidP="003452BA"/>
    <w:p w:rsidR="00FE13C7" w:rsidRDefault="00FE13C7"/>
    <w:p w:rsidR="003452BA" w:rsidRDefault="003452BA"/>
    <w:p w:rsidR="003452BA" w:rsidRPr="00AE2A06" w:rsidRDefault="003452BA" w:rsidP="003452BA">
      <w:pPr>
        <w:rPr>
          <w:b/>
          <w:lang w:val="de-CH"/>
        </w:rPr>
      </w:pPr>
      <w:r w:rsidRPr="00AE2A06">
        <w:rPr>
          <w:b/>
          <w:lang w:val="de-CH"/>
        </w:rPr>
        <w:t>References</w:t>
      </w:r>
    </w:p>
    <w:p w:rsidR="003452BA" w:rsidRPr="00AE2A06" w:rsidRDefault="003452BA" w:rsidP="003452BA">
      <w:pPr>
        <w:rPr>
          <w:lang w:val="fr-CH"/>
        </w:rPr>
      </w:pPr>
      <w:r w:rsidRPr="00AE2A06">
        <w:rPr>
          <w:lang w:val="de-CH"/>
        </w:rPr>
        <w:t xml:space="preserve">[Ka11] S. D. Kahn. </w:t>
      </w:r>
      <w:proofErr w:type="gramStart"/>
      <w:r w:rsidRPr="0061496C">
        <w:t>On the Future of Genomic Data.</w:t>
      </w:r>
      <w:proofErr w:type="gramEnd"/>
      <w:r w:rsidRPr="0061496C">
        <w:t xml:space="preserve"> </w:t>
      </w:r>
      <w:r w:rsidRPr="00AE2A06">
        <w:rPr>
          <w:lang w:val="fr-CH"/>
        </w:rPr>
        <w:t>Science, 331(6018): 728-729, 2011.</w:t>
      </w:r>
    </w:p>
    <w:p w:rsidR="003452BA" w:rsidRDefault="003452BA" w:rsidP="003452BA">
      <w:r w:rsidRPr="00AE2A06">
        <w:rPr>
          <w:lang w:val="fr-CH"/>
        </w:rPr>
        <w:t xml:space="preserve">[alt10] </w:t>
      </w:r>
      <w:proofErr w:type="spellStart"/>
      <w:r w:rsidRPr="00AE2A06">
        <w:rPr>
          <w:lang w:val="fr-CH"/>
        </w:rPr>
        <w:t>Altshuler</w:t>
      </w:r>
      <w:proofErr w:type="spellEnd"/>
      <w:r w:rsidRPr="00AE2A06">
        <w:rPr>
          <w:lang w:val="fr-CH"/>
        </w:rPr>
        <w:t xml:space="preserve"> D, </w:t>
      </w:r>
      <w:proofErr w:type="spellStart"/>
      <w:r w:rsidRPr="00AE2A06">
        <w:rPr>
          <w:lang w:val="fr-CH"/>
        </w:rPr>
        <w:t>Durbin</w:t>
      </w:r>
      <w:proofErr w:type="spellEnd"/>
      <w:r w:rsidRPr="00AE2A06">
        <w:rPr>
          <w:lang w:val="fr-CH"/>
        </w:rPr>
        <w:t xml:space="preserve"> R, et al. </w:t>
      </w:r>
      <w:proofErr w:type="gramStart"/>
      <w:r w:rsidRPr="004F21A4">
        <w:t>A map of human genome variation from population-scale</w:t>
      </w:r>
      <w:r>
        <w:t xml:space="preserve"> </w:t>
      </w:r>
      <w:r w:rsidRPr="004F21A4">
        <w:t>sequencing, Nature.</w:t>
      </w:r>
      <w:proofErr w:type="gramEnd"/>
      <w:r w:rsidRPr="004F21A4">
        <w:t xml:space="preserve"> 467(7319):1061-73, 2010.</w:t>
      </w:r>
      <w:r>
        <w:t xml:space="preserve"> </w:t>
      </w:r>
    </w:p>
    <w:p w:rsidR="003452BA" w:rsidRDefault="003452BA" w:rsidP="003452BA">
      <w:r w:rsidRPr="004F21A4">
        <w:t xml:space="preserve">[loh12] </w:t>
      </w:r>
      <w:proofErr w:type="spellStart"/>
      <w:proofErr w:type="gramStart"/>
      <w:r w:rsidRPr="004F21A4">
        <w:t>Loh</w:t>
      </w:r>
      <w:proofErr w:type="spellEnd"/>
      <w:r w:rsidRPr="004F21A4">
        <w:t xml:space="preserve"> P.-R, </w:t>
      </w:r>
      <w:proofErr w:type="spellStart"/>
      <w:r w:rsidRPr="004F21A4">
        <w:t>Baym</w:t>
      </w:r>
      <w:proofErr w:type="spellEnd"/>
      <w:r w:rsidRPr="004F21A4">
        <w:t xml:space="preserve"> M, and Berger B. Compressive genomics.</w:t>
      </w:r>
      <w:proofErr w:type="gramEnd"/>
      <w:r w:rsidRPr="004F21A4">
        <w:t xml:space="preserve"> Nat. </w:t>
      </w:r>
      <w:proofErr w:type="spellStart"/>
      <w:r w:rsidRPr="004F21A4">
        <w:t>Biotechnol</w:t>
      </w:r>
      <w:proofErr w:type="spellEnd"/>
      <w:r w:rsidRPr="004F21A4">
        <w:t>. 30:627–630, 2012.</w:t>
      </w:r>
    </w:p>
    <w:p w:rsidR="003452BA" w:rsidRDefault="003452BA" w:rsidP="003452BA">
      <w:r w:rsidRPr="004F21A4">
        <w:t xml:space="preserve">[wu10] Wu K, </w:t>
      </w:r>
      <w:proofErr w:type="spellStart"/>
      <w:r w:rsidRPr="004F21A4">
        <w:t>Shoshani</w:t>
      </w:r>
      <w:proofErr w:type="spellEnd"/>
      <w:r w:rsidRPr="004F21A4">
        <w:t xml:space="preserve"> A, </w:t>
      </w:r>
      <w:proofErr w:type="spellStart"/>
      <w:r w:rsidRPr="004F21A4">
        <w:t>Stockinger</w:t>
      </w:r>
      <w:proofErr w:type="spellEnd"/>
      <w:r w:rsidRPr="004F21A4">
        <w:t xml:space="preserve"> K. Analyses of multi-level</w:t>
      </w:r>
      <w:r>
        <w:t xml:space="preserve"> and multi-component compressed </w:t>
      </w:r>
      <w:r w:rsidRPr="004F21A4">
        <w:t xml:space="preserve">bitmap indexes. </w:t>
      </w:r>
      <w:proofErr w:type="gramStart"/>
      <w:r w:rsidRPr="004F21A4">
        <w:t>ACM Trans. Database Syst. 35(1), 2010.</w:t>
      </w:r>
      <w:proofErr w:type="gramEnd"/>
    </w:p>
    <w:p w:rsidR="003452BA" w:rsidRDefault="003452BA" w:rsidP="003452BA">
      <w:r w:rsidRPr="003D5577">
        <w:lastRenderedPageBreak/>
        <w:t xml:space="preserve">[mah12] Maher B, ENCODE: The human </w:t>
      </w:r>
      <w:proofErr w:type="spellStart"/>
      <w:r w:rsidRPr="003D5577">
        <w:t>encyclopaedia</w:t>
      </w:r>
      <w:proofErr w:type="spellEnd"/>
      <w:r w:rsidRPr="003D5577">
        <w:t xml:space="preserve">. </w:t>
      </w:r>
      <w:proofErr w:type="gramStart"/>
      <w:r w:rsidRPr="003D5577">
        <w:t>Nature.</w:t>
      </w:r>
      <w:proofErr w:type="gramEnd"/>
      <w:r w:rsidRPr="003D5577">
        <w:t xml:space="preserve"> 489(7414):46-8, 2012.</w:t>
      </w:r>
    </w:p>
    <w:p w:rsidR="003452BA" w:rsidRDefault="003452BA"/>
    <w:sectPr w:rsidR="003452BA" w:rsidSect="004A7C2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7019F"/>
    <w:multiLevelType w:val="hybridMultilevel"/>
    <w:tmpl w:val="7C903380"/>
    <w:lvl w:ilvl="0" w:tplc="04090001">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
    <w:nsid w:val="64CE6E39"/>
    <w:multiLevelType w:val="multilevel"/>
    <w:tmpl w:val="2B8291E2"/>
    <w:lvl w:ilvl="0">
      <w:start w:val="1"/>
      <w:numFmt w:val="decimal"/>
      <w:pStyle w:val="Ttulo1"/>
      <w:lvlText w:val="%1"/>
      <w:lvlJc w:val="left"/>
      <w:pPr>
        <w:tabs>
          <w:tab w:val="num" w:pos="720"/>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
    <w:nsid w:val="78F52011"/>
    <w:multiLevelType w:val="hybridMultilevel"/>
    <w:tmpl w:val="E47862F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064EC8"/>
    <w:rsid w:val="0001437A"/>
    <w:rsid w:val="0002669A"/>
    <w:rsid w:val="000272D8"/>
    <w:rsid w:val="00037DF7"/>
    <w:rsid w:val="00040E63"/>
    <w:rsid w:val="00047B2D"/>
    <w:rsid w:val="00064EC8"/>
    <w:rsid w:val="00065D1E"/>
    <w:rsid w:val="0008126C"/>
    <w:rsid w:val="000B05B5"/>
    <w:rsid w:val="000C0BD4"/>
    <w:rsid w:val="000C36FF"/>
    <w:rsid w:val="000D6595"/>
    <w:rsid w:val="000D676D"/>
    <w:rsid w:val="00106E34"/>
    <w:rsid w:val="001135C3"/>
    <w:rsid w:val="001308C3"/>
    <w:rsid w:val="001539D3"/>
    <w:rsid w:val="00166C0E"/>
    <w:rsid w:val="00191996"/>
    <w:rsid w:val="00192614"/>
    <w:rsid w:val="001A0539"/>
    <w:rsid w:val="001A58F1"/>
    <w:rsid w:val="001A5B0E"/>
    <w:rsid w:val="001D6CF3"/>
    <w:rsid w:val="001E1665"/>
    <w:rsid w:val="001E174F"/>
    <w:rsid w:val="00206D38"/>
    <w:rsid w:val="00212CD0"/>
    <w:rsid w:val="002168D9"/>
    <w:rsid w:val="002255C9"/>
    <w:rsid w:val="002407DC"/>
    <w:rsid w:val="00243D3C"/>
    <w:rsid w:val="00255793"/>
    <w:rsid w:val="002660A2"/>
    <w:rsid w:val="00272AE7"/>
    <w:rsid w:val="0028344F"/>
    <w:rsid w:val="002A0250"/>
    <w:rsid w:val="002C262E"/>
    <w:rsid w:val="002D23C4"/>
    <w:rsid w:val="00301430"/>
    <w:rsid w:val="003222D3"/>
    <w:rsid w:val="003318DB"/>
    <w:rsid w:val="003341C3"/>
    <w:rsid w:val="00337244"/>
    <w:rsid w:val="003439FC"/>
    <w:rsid w:val="003450CA"/>
    <w:rsid w:val="003452BA"/>
    <w:rsid w:val="0035280B"/>
    <w:rsid w:val="00356202"/>
    <w:rsid w:val="0035771E"/>
    <w:rsid w:val="00383402"/>
    <w:rsid w:val="003875FB"/>
    <w:rsid w:val="00387C54"/>
    <w:rsid w:val="003A2F30"/>
    <w:rsid w:val="003C4A8B"/>
    <w:rsid w:val="003C578A"/>
    <w:rsid w:val="003D1324"/>
    <w:rsid w:val="003D66D2"/>
    <w:rsid w:val="003F0E5D"/>
    <w:rsid w:val="0040694C"/>
    <w:rsid w:val="00422D13"/>
    <w:rsid w:val="0043507E"/>
    <w:rsid w:val="004577A6"/>
    <w:rsid w:val="004827F6"/>
    <w:rsid w:val="00484FD3"/>
    <w:rsid w:val="004853C8"/>
    <w:rsid w:val="00493A2E"/>
    <w:rsid w:val="00494049"/>
    <w:rsid w:val="004A7C21"/>
    <w:rsid w:val="004C70E4"/>
    <w:rsid w:val="004C7417"/>
    <w:rsid w:val="004F1805"/>
    <w:rsid w:val="00523E72"/>
    <w:rsid w:val="00532D69"/>
    <w:rsid w:val="00533503"/>
    <w:rsid w:val="00542F8E"/>
    <w:rsid w:val="00565461"/>
    <w:rsid w:val="00595E54"/>
    <w:rsid w:val="005A170C"/>
    <w:rsid w:val="005D0B94"/>
    <w:rsid w:val="005D5CC2"/>
    <w:rsid w:val="00600637"/>
    <w:rsid w:val="00603579"/>
    <w:rsid w:val="006221AE"/>
    <w:rsid w:val="00625AC7"/>
    <w:rsid w:val="00652B63"/>
    <w:rsid w:val="00661042"/>
    <w:rsid w:val="00661936"/>
    <w:rsid w:val="006849F7"/>
    <w:rsid w:val="00692666"/>
    <w:rsid w:val="006B211D"/>
    <w:rsid w:val="006C5BF7"/>
    <w:rsid w:val="006D0688"/>
    <w:rsid w:val="007119D4"/>
    <w:rsid w:val="00715440"/>
    <w:rsid w:val="007227F7"/>
    <w:rsid w:val="00731281"/>
    <w:rsid w:val="00743DBE"/>
    <w:rsid w:val="00787F0B"/>
    <w:rsid w:val="0079101D"/>
    <w:rsid w:val="00793D59"/>
    <w:rsid w:val="007A0C2D"/>
    <w:rsid w:val="007A6BC9"/>
    <w:rsid w:val="007C2FDB"/>
    <w:rsid w:val="007C4080"/>
    <w:rsid w:val="007D7CEE"/>
    <w:rsid w:val="007E0B87"/>
    <w:rsid w:val="00814798"/>
    <w:rsid w:val="00817B57"/>
    <w:rsid w:val="00840576"/>
    <w:rsid w:val="00844E3C"/>
    <w:rsid w:val="00845BAA"/>
    <w:rsid w:val="00872318"/>
    <w:rsid w:val="00885A5F"/>
    <w:rsid w:val="00886162"/>
    <w:rsid w:val="008949CE"/>
    <w:rsid w:val="008A00CE"/>
    <w:rsid w:val="008A2BE7"/>
    <w:rsid w:val="008A6E25"/>
    <w:rsid w:val="008C240A"/>
    <w:rsid w:val="008C3E15"/>
    <w:rsid w:val="008C489A"/>
    <w:rsid w:val="008E46DE"/>
    <w:rsid w:val="008F16B4"/>
    <w:rsid w:val="008F389A"/>
    <w:rsid w:val="008F5F46"/>
    <w:rsid w:val="00910302"/>
    <w:rsid w:val="00943ED6"/>
    <w:rsid w:val="00950068"/>
    <w:rsid w:val="00961CC2"/>
    <w:rsid w:val="00964B7E"/>
    <w:rsid w:val="00972173"/>
    <w:rsid w:val="00973F4B"/>
    <w:rsid w:val="009777F2"/>
    <w:rsid w:val="009C7193"/>
    <w:rsid w:val="009D3666"/>
    <w:rsid w:val="00A21F9B"/>
    <w:rsid w:val="00A27118"/>
    <w:rsid w:val="00A33287"/>
    <w:rsid w:val="00A55EEC"/>
    <w:rsid w:val="00A77ACA"/>
    <w:rsid w:val="00A81D20"/>
    <w:rsid w:val="00A91C00"/>
    <w:rsid w:val="00AA56DA"/>
    <w:rsid w:val="00AE3A6D"/>
    <w:rsid w:val="00AE3D84"/>
    <w:rsid w:val="00AF5D95"/>
    <w:rsid w:val="00B0511B"/>
    <w:rsid w:val="00B34AFC"/>
    <w:rsid w:val="00B419AC"/>
    <w:rsid w:val="00B454C5"/>
    <w:rsid w:val="00B61528"/>
    <w:rsid w:val="00B732E0"/>
    <w:rsid w:val="00B81319"/>
    <w:rsid w:val="00B82BEF"/>
    <w:rsid w:val="00B91CDC"/>
    <w:rsid w:val="00C15C18"/>
    <w:rsid w:val="00C54D2C"/>
    <w:rsid w:val="00C72CF0"/>
    <w:rsid w:val="00C76D4A"/>
    <w:rsid w:val="00C863F5"/>
    <w:rsid w:val="00CE7659"/>
    <w:rsid w:val="00CF6C41"/>
    <w:rsid w:val="00D029A6"/>
    <w:rsid w:val="00D22DCB"/>
    <w:rsid w:val="00D22F2E"/>
    <w:rsid w:val="00D41A07"/>
    <w:rsid w:val="00D662E5"/>
    <w:rsid w:val="00E25632"/>
    <w:rsid w:val="00E3532F"/>
    <w:rsid w:val="00E57233"/>
    <w:rsid w:val="00E701C6"/>
    <w:rsid w:val="00E76A0F"/>
    <w:rsid w:val="00E81A1B"/>
    <w:rsid w:val="00EA5886"/>
    <w:rsid w:val="00EC1870"/>
    <w:rsid w:val="00EE745F"/>
    <w:rsid w:val="00EF0687"/>
    <w:rsid w:val="00EF29D2"/>
    <w:rsid w:val="00F06ADE"/>
    <w:rsid w:val="00F15CA3"/>
    <w:rsid w:val="00F17F2C"/>
    <w:rsid w:val="00F21378"/>
    <w:rsid w:val="00F27569"/>
    <w:rsid w:val="00F36375"/>
    <w:rsid w:val="00F37FA7"/>
    <w:rsid w:val="00F56349"/>
    <w:rsid w:val="00F56998"/>
    <w:rsid w:val="00F6212C"/>
    <w:rsid w:val="00F817D2"/>
    <w:rsid w:val="00F85011"/>
    <w:rsid w:val="00F85290"/>
    <w:rsid w:val="00FB5AE8"/>
    <w:rsid w:val="00FC3CD6"/>
    <w:rsid w:val="00FE13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C8"/>
    <w:pPr>
      <w:spacing w:after="0" w:line="240" w:lineRule="auto"/>
      <w:jc w:val="both"/>
    </w:pPr>
    <w:rPr>
      <w:rFonts w:ascii="Times New Roman" w:eastAsia="MS Mincho" w:hAnsi="Times New Roman" w:cs="Times New Roman"/>
      <w:sz w:val="24"/>
      <w:szCs w:val="24"/>
    </w:rPr>
  </w:style>
  <w:style w:type="paragraph" w:styleId="Ttulo1">
    <w:name w:val="heading 1"/>
    <w:aliases w:val="Heading U,H1,H11,Œ©o‚µ 1,뙥,?co??E 1,h1,?c,?co?ƒÊ 1,?,Œ,Œ©,Œ..."/>
    <w:basedOn w:val="Normal"/>
    <w:next w:val="Normal"/>
    <w:link w:val="Ttulo1Car"/>
    <w:qFormat/>
    <w:rsid w:val="00301430"/>
    <w:pPr>
      <w:keepNext/>
      <w:numPr>
        <w:numId w:val="2"/>
      </w:numPr>
      <w:tabs>
        <w:tab w:val="left" w:pos="567"/>
      </w:tabs>
      <w:spacing w:before="600" w:after="240"/>
      <w:outlineLvl w:val="0"/>
    </w:pPr>
    <w:rPr>
      <w:rFonts w:ascii="Arial" w:eastAsia="BatangChe" w:hAnsi="Arial" w:cs="Arial"/>
      <w:b/>
      <w:bCs/>
      <w:kern w:val="28"/>
      <w:sz w:val="32"/>
      <w:szCs w:val="32"/>
    </w:rPr>
  </w:style>
  <w:style w:type="paragraph" w:styleId="Ttulo2">
    <w:name w:val="heading 2"/>
    <w:aliases w:val="H2,H21,Œ©o‚µ 2,뙥2,?co??E 2,h2,?c1,?co?ƒÊ 2,?2,Œ1,Œ2,Œ©2,...,Œ©_o‚µ 2,Œ©1"/>
    <w:basedOn w:val="Normal"/>
    <w:next w:val="Normal"/>
    <w:link w:val="Ttulo2Car"/>
    <w:qFormat/>
    <w:rsid w:val="00301430"/>
    <w:pPr>
      <w:keepNext/>
      <w:numPr>
        <w:ilvl w:val="1"/>
        <w:numId w:val="2"/>
      </w:numPr>
      <w:spacing w:before="240" w:after="60"/>
      <w:outlineLvl w:val="1"/>
    </w:pPr>
    <w:rPr>
      <w:rFonts w:ascii="Arial" w:eastAsia="BatangChe" w:hAnsi="Arial" w:cs="Arial"/>
      <w:b/>
      <w:bCs/>
    </w:rPr>
  </w:style>
  <w:style w:type="paragraph" w:styleId="Ttulo3">
    <w:name w:val="heading 3"/>
    <w:aliases w:val="H3,H31,h3"/>
    <w:basedOn w:val="Normal"/>
    <w:next w:val="Normal"/>
    <w:link w:val="Ttulo3Car"/>
    <w:qFormat/>
    <w:rsid w:val="00301430"/>
    <w:pPr>
      <w:keepNext/>
      <w:numPr>
        <w:ilvl w:val="2"/>
        <w:numId w:val="2"/>
      </w:numPr>
      <w:tabs>
        <w:tab w:val="left" w:pos="567"/>
      </w:tabs>
      <w:spacing w:before="240" w:after="60"/>
      <w:outlineLvl w:val="2"/>
    </w:pPr>
    <w:rPr>
      <w:rFonts w:ascii="Arial" w:eastAsia="BatangChe" w:hAnsi="Arial" w:cs="Arial"/>
      <w:b/>
      <w:bCs/>
      <w:sz w:val="20"/>
      <w:szCs w:val="20"/>
    </w:rPr>
  </w:style>
  <w:style w:type="paragraph" w:styleId="Ttulo4">
    <w:name w:val="heading 4"/>
    <w:aliases w:val="H4,H41,h4,0.1.1.1 Titre 4 + Left:  0&quot;,First line:  0&quot;,0.1.1...,0.1.1.1 Titre 4"/>
    <w:basedOn w:val="Normal"/>
    <w:next w:val="Normal"/>
    <w:link w:val="Ttulo4Car"/>
    <w:qFormat/>
    <w:rsid w:val="00301430"/>
    <w:pPr>
      <w:keepNext/>
      <w:numPr>
        <w:ilvl w:val="3"/>
        <w:numId w:val="2"/>
      </w:numPr>
      <w:tabs>
        <w:tab w:val="left" w:pos="1440"/>
        <w:tab w:val="left" w:pos="2160"/>
        <w:tab w:val="left" w:pos="2880"/>
        <w:tab w:val="left" w:pos="3600"/>
        <w:tab w:val="left" w:pos="4320"/>
        <w:tab w:val="left" w:pos="5040"/>
        <w:tab w:val="left" w:pos="5760"/>
        <w:tab w:val="left" w:pos="6480"/>
        <w:tab w:val="left" w:pos="7200"/>
        <w:tab w:val="left" w:pos="7920"/>
      </w:tabs>
      <w:spacing w:before="240" w:after="60"/>
      <w:outlineLvl w:val="3"/>
    </w:pPr>
    <w:rPr>
      <w:rFonts w:eastAsia="BatangChe"/>
      <w:b/>
      <w:bCs/>
      <w:i/>
      <w:iCs/>
    </w:rPr>
  </w:style>
  <w:style w:type="paragraph" w:styleId="Ttulo5">
    <w:name w:val="heading 5"/>
    <w:aliases w:val="H5,H51,h5"/>
    <w:basedOn w:val="Normal"/>
    <w:next w:val="Normal"/>
    <w:link w:val="Ttulo5Car"/>
    <w:qFormat/>
    <w:rsid w:val="00301430"/>
    <w:pPr>
      <w:numPr>
        <w:ilvl w:val="4"/>
        <w:numId w:val="2"/>
      </w:numPr>
      <w:tabs>
        <w:tab w:val="left" w:pos="1440"/>
        <w:tab w:val="left" w:pos="2160"/>
        <w:tab w:val="left" w:pos="2880"/>
        <w:tab w:val="left" w:pos="3600"/>
        <w:tab w:val="left" w:pos="4320"/>
        <w:tab w:val="left" w:pos="5040"/>
        <w:tab w:val="left" w:pos="5760"/>
        <w:tab w:val="left" w:pos="6480"/>
        <w:tab w:val="left" w:pos="7200"/>
        <w:tab w:val="left" w:pos="7920"/>
      </w:tabs>
      <w:spacing w:before="240" w:after="60"/>
      <w:outlineLvl w:val="4"/>
    </w:pPr>
    <w:rPr>
      <w:rFonts w:ascii="Arial" w:eastAsia="BatangChe" w:hAnsi="Arial" w:cs="Arial"/>
      <w:sz w:val="22"/>
      <w:szCs w:val="22"/>
    </w:rPr>
  </w:style>
  <w:style w:type="paragraph" w:styleId="Ttulo6">
    <w:name w:val="heading 6"/>
    <w:aliases w:val="H6,H61,h6"/>
    <w:basedOn w:val="Normal"/>
    <w:next w:val="Normal"/>
    <w:link w:val="Ttulo6Car"/>
    <w:qFormat/>
    <w:rsid w:val="00301430"/>
    <w:pPr>
      <w:numPr>
        <w:ilvl w:val="5"/>
        <w:numId w:val="2"/>
      </w:numPr>
      <w:tabs>
        <w:tab w:val="left" w:pos="1440"/>
        <w:tab w:val="left" w:pos="2160"/>
        <w:tab w:val="left" w:pos="2880"/>
        <w:tab w:val="left" w:pos="3600"/>
        <w:tab w:val="left" w:pos="4320"/>
        <w:tab w:val="left" w:pos="5040"/>
        <w:tab w:val="left" w:pos="5760"/>
        <w:tab w:val="left" w:pos="6480"/>
        <w:tab w:val="left" w:pos="7200"/>
        <w:tab w:val="left" w:pos="7920"/>
      </w:tabs>
      <w:spacing w:before="240" w:after="60"/>
      <w:outlineLvl w:val="5"/>
    </w:pPr>
    <w:rPr>
      <w:rFonts w:ascii="Arial" w:eastAsia="BatangChe" w:hAnsi="Arial" w:cs="Arial"/>
      <w:i/>
      <w:iCs/>
      <w:sz w:val="22"/>
      <w:szCs w:val="22"/>
    </w:rPr>
  </w:style>
  <w:style w:type="paragraph" w:styleId="Ttulo7">
    <w:name w:val="heading 7"/>
    <w:basedOn w:val="Normal"/>
    <w:next w:val="Normal"/>
    <w:link w:val="Ttulo7Car"/>
    <w:qFormat/>
    <w:rsid w:val="00301430"/>
    <w:pPr>
      <w:numPr>
        <w:ilvl w:val="6"/>
        <w:numId w:val="2"/>
      </w:numPr>
      <w:tabs>
        <w:tab w:val="left" w:pos="1440"/>
        <w:tab w:val="left" w:pos="2160"/>
        <w:tab w:val="left" w:pos="2880"/>
        <w:tab w:val="left" w:pos="3600"/>
        <w:tab w:val="left" w:pos="4320"/>
        <w:tab w:val="left" w:pos="5040"/>
        <w:tab w:val="left" w:pos="5760"/>
        <w:tab w:val="left" w:pos="6480"/>
        <w:tab w:val="left" w:pos="7200"/>
        <w:tab w:val="left" w:pos="7920"/>
      </w:tabs>
      <w:spacing w:before="240" w:after="60"/>
      <w:outlineLvl w:val="6"/>
    </w:pPr>
    <w:rPr>
      <w:rFonts w:ascii="Arial" w:eastAsia="BatangChe" w:hAnsi="Arial" w:cs="Arial"/>
      <w:sz w:val="20"/>
      <w:szCs w:val="20"/>
    </w:rPr>
  </w:style>
  <w:style w:type="paragraph" w:styleId="Ttulo8">
    <w:name w:val="heading 8"/>
    <w:basedOn w:val="Normal"/>
    <w:next w:val="Normal"/>
    <w:link w:val="Ttulo8Car"/>
    <w:qFormat/>
    <w:rsid w:val="00301430"/>
    <w:pPr>
      <w:numPr>
        <w:ilvl w:val="7"/>
        <w:numId w:val="2"/>
      </w:numPr>
      <w:tabs>
        <w:tab w:val="left" w:pos="2160"/>
        <w:tab w:val="left" w:pos="2880"/>
        <w:tab w:val="left" w:pos="3600"/>
        <w:tab w:val="left" w:pos="4320"/>
        <w:tab w:val="left" w:pos="5040"/>
        <w:tab w:val="left" w:pos="5760"/>
        <w:tab w:val="left" w:pos="6480"/>
        <w:tab w:val="left" w:pos="7200"/>
        <w:tab w:val="left" w:pos="7920"/>
      </w:tabs>
      <w:spacing w:before="240" w:after="60"/>
      <w:outlineLvl w:val="7"/>
    </w:pPr>
    <w:rPr>
      <w:rFonts w:ascii="Arial" w:eastAsia="BatangChe" w:hAnsi="Arial" w:cs="Arial"/>
      <w:i/>
      <w:iCs/>
      <w:sz w:val="20"/>
      <w:szCs w:val="20"/>
    </w:rPr>
  </w:style>
  <w:style w:type="paragraph" w:styleId="Ttulo9">
    <w:name w:val="heading 9"/>
    <w:basedOn w:val="Normal"/>
    <w:next w:val="Normal"/>
    <w:link w:val="Ttulo9Car"/>
    <w:qFormat/>
    <w:rsid w:val="00301430"/>
    <w:pPr>
      <w:numPr>
        <w:ilvl w:val="8"/>
        <w:numId w:val="2"/>
      </w:numPr>
      <w:tabs>
        <w:tab w:val="left" w:pos="1440"/>
        <w:tab w:val="left" w:pos="2160"/>
        <w:tab w:val="left" w:pos="2880"/>
        <w:tab w:val="left" w:pos="3600"/>
        <w:tab w:val="left" w:pos="4320"/>
        <w:tab w:val="left" w:pos="5040"/>
        <w:tab w:val="left" w:pos="5760"/>
        <w:tab w:val="left" w:pos="6480"/>
        <w:tab w:val="left" w:pos="7200"/>
        <w:tab w:val="left" w:pos="7920"/>
      </w:tabs>
      <w:spacing w:before="240" w:after="60"/>
      <w:outlineLvl w:val="8"/>
    </w:pPr>
    <w:rPr>
      <w:rFonts w:ascii="Arial" w:eastAsia="BatangChe" w:hAnsi="Arial" w:cs="Arial"/>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U Car,H1 Car,H11 Car,Œ©o‚µ 1 Car,뙥 Car,?co??E 1 Car,h1 Car,?c Car,?co?ƒÊ 1 Car,? Car,Œ Car,Œ© Car,Œ... Car"/>
    <w:basedOn w:val="Fuentedeprrafopredeter"/>
    <w:link w:val="Ttulo1"/>
    <w:rsid w:val="00301430"/>
    <w:rPr>
      <w:rFonts w:ascii="Arial" w:eastAsia="BatangChe" w:hAnsi="Arial" w:cs="Arial"/>
      <w:b/>
      <w:bCs/>
      <w:kern w:val="28"/>
      <w:sz w:val="32"/>
      <w:szCs w:val="32"/>
    </w:rPr>
  </w:style>
  <w:style w:type="character" w:customStyle="1" w:styleId="Ttulo2Car">
    <w:name w:val="Título 2 Car"/>
    <w:aliases w:val="H2 Car,H21 Car,Œ©o‚µ 2 Car,뙥2 Car,?co??E 2 Car,h2 Car,?c1 Car,?co?ƒÊ 2 Car,?2 Car,Œ1 Car,Œ2 Car,Œ©2 Car,... Car,Œ©_o‚µ 2 Car,Œ©1 Car"/>
    <w:basedOn w:val="Fuentedeprrafopredeter"/>
    <w:link w:val="Ttulo2"/>
    <w:rsid w:val="00301430"/>
    <w:rPr>
      <w:rFonts w:ascii="Arial" w:eastAsia="BatangChe" w:hAnsi="Arial" w:cs="Arial"/>
      <w:b/>
      <w:bCs/>
      <w:sz w:val="24"/>
      <w:szCs w:val="24"/>
    </w:rPr>
  </w:style>
  <w:style w:type="character" w:customStyle="1" w:styleId="Ttulo3Car">
    <w:name w:val="Título 3 Car"/>
    <w:aliases w:val="H3 Car,H31 Car,h3 Car"/>
    <w:basedOn w:val="Fuentedeprrafopredeter"/>
    <w:link w:val="Ttulo3"/>
    <w:rsid w:val="00301430"/>
    <w:rPr>
      <w:rFonts w:ascii="Arial" w:eastAsia="BatangChe" w:hAnsi="Arial" w:cs="Arial"/>
      <w:b/>
      <w:bCs/>
      <w:sz w:val="20"/>
      <w:szCs w:val="20"/>
    </w:rPr>
  </w:style>
  <w:style w:type="character" w:customStyle="1" w:styleId="Ttulo4Car">
    <w:name w:val="Título 4 Car"/>
    <w:aliases w:val="H4 Car,H41 Car,h4 Car,0.1.1.1 Titre 4 + Left:  0&quot; Car,First line:  0&quot; Car,0.1.1... Car,0.1.1.1 Titre 4 Car"/>
    <w:basedOn w:val="Fuentedeprrafopredeter"/>
    <w:link w:val="Ttulo4"/>
    <w:rsid w:val="00301430"/>
    <w:rPr>
      <w:rFonts w:ascii="Times New Roman" w:eastAsia="BatangChe" w:hAnsi="Times New Roman" w:cs="Times New Roman"/>
      <w:b/>
      <w:bCs/>
      <w:i/>
      <w:iCs/>
      <w:sz w:val="24"/>
      <w:szCs w:val="24"/>
    </w:rPr>
  </w:style>
  <w:style w:type="character" w:customStyle="1" w:styleId="Ttulo5Car">
    <w:name w:val="Título 5 Car"/>
    <w:aliases w:val="H5 Car,H51 Car,h5 Car"/>
    <w:basedOn w:val="Fuentedeprrafopredeter"/>
    <w:link w:val="Ttulo5"/>
    <w:rsid w:val="00301430"/>
    <w:rPr>
      <w:rFonts w:ascii="Arial" w:eastAsia="BatangChe" w:hAnsi="Arial" w:cs="Arial"/>
    </w:rPr>
  </w:style>
  <w:style w:type="character" w:customStyle="1" w:styleId="Ttulo6Car">
    <w:name w:val="Título 6 Car"/>
    <w:aliases w:val="H6 Car,H61 Car,h6 Car"/>
    <w:basedOn w:val="Fuentedeprrafopredeter"/>
    <w:link w:val="Ttulo6"/>
    <w:rsid w:val="00301430"/>
    <w:rPr>
      <w:rFonts w:ascii="Arial" w:eastAsia="BatangChe" w:hAnsi="Arial" w:cs="Arial"/>
      <w:i/>
      <w:iCs/>
    </w:rPr>
  </w:style>
  <w:style w:type="character" w:customStyle="1" w:styleId="Ttulo7Car">
    <w:name w:val="Título 7 Car"/>
    <w:basedOn w:val="Fuentedeprrafopredeter"/>
    <w:link w:val="Ttulo7"/>
    <w:rsid w:val="00301430"/>
    <w:rPr>
      <w:rFonts w:ascii="Arial" w:eastAsia="BatangChe" w:hAnsi="Arial" w:cs="Arial"/>
      <w:sz w:val="20"/>
      <w:szCs w:val="20"/>
    </w:rPr>
  </w:style>
  <w:style w:type="character" w:customStyle="1" w:styleId="Ttulo8Car">
    <w:name w:val="Título 8 Car"/>
    <w:basedOn w:val="Fuentedeprrafopredeter"/>
    <w:link w:val="Ttulo8"/>
    <w:rsid w:val="00301430"/>
    <w:rPr>
      <w:rFonts w:ascii="Arial" w:eastAsia="BatangChe" w:hAnsi="Arial" w:cs="Arial"/>
      <w:i/>
      <w:iCs/>
      <w:sz w:val="20"/>
      <w:szCs w:val="20"/>
    </w:rPr>
  </w:style>
  <w:style w:type="character" w:customStyle="1" w:styleId="Ttulo9Car">
    <w:name w:val="Título 9 Car"/>
    <w:basedOn w:val="Fuentedeprrafopredeter"/>
    <w:link w:val="Ttulo9"/>
    <w:rsid w:val="00301430"/>
    <w:rPr>
      <w:rFonts w:ascii="Arial" w:eastAsia="BatangChe" w:hAnsi="Arial" w:cs="Arial"/>
      <w:i/>
      <w:iCs/>
      <w:sz w:val="18"/>
      <w:szCs w:val="18"/>
    </w:rPr>
  </w:style>
  <w:style w:type="paragraph" w:styleId="Prrafodelista">
    <w:name w:val="List Paragraph"/>
    <w:basedOn w:val="Normal"/>
    <w:uiPriority w:val="34"/>
    <w:qFormat/>
    <w:rsid w:val="00FE13C7"/>
    <w:pPr>
      <w:spacing w:after="200" w:line="276" w:lineRule="auto"/>
      <w:ind w:left="720"/>
      <w:contextualSpacing/>
      <w:jc w:val="left"/>
    </w:pPr>
    <w:rPr>
      <w:rFonts w:asciiTheme="minorHAnsi" w:eastAsiaTheme="minorHAnsi" w:hAnsiTheme="minorHAnsi" w:cstheme="minorBidi"/>
      <w:sz w:val="22"/>
      <w:szCs w:val="22"/>
      <w:lang w:val="fr-FR"/>
    </w:rPr>
  </w:style>
  <w:style w:type="table" w:styleId="Tablaconcuadrcula">
    <w:name w:val="Table Grid"/>
    <w:basedOn w:val="Tablanormal"/>
    <w:uiPriority w:val="59"/>
    <w:rsid w:val="00FE13C7"/>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8A00CE"/>
    <w:pPr>
      <w:spacing w:after="200"/>
      <w:jc w:val="left"/>
    </w:pPr>
    <w:rPr>
      <w:rFonts w:asciiTheme="minorHAnsi" w:eastAsiaTheme="minorHAnsi" w:hAnsiTheme="minorHAnsi" w:cstheme="minorBidi"/>
      <w:b/>
      <w:bCs/>
      <w:color w:val="4F81BD" w:themeColor="accent1"/>
      <w:sz w:val="18"/>
      <w:szCs w:val="18"/>
      <w:lang w:val="fr-FR"/>
    </w:rPr>
  </w:style>
  <w:style w:type="paragraph" w:styleId="Textodeglobo">
    <w:name w:val="Balloon Text"/>
    <w:basedOn w:val="Normal"/>
    <w:link w:val="TextodegloboCar"/>
    <w:uiPriority w:val="99"/>
    <w:semiHidden/>
    <w:unhideWhenUsed/>
    <w:rsid w:val="008A00CE"/>
    <w:rPr>
      <w:rFonts w:ascii="Tahoma" w:hAnsi="Tahoma" w:cs="Tahoma"/>
      <w:sz w:val="16"/>
      <w:szCs w:val="16"/>
    </w:rPr>
  </w:style>
  <w:style w:type="character" w:customStyle="1" w:styleId="TextodegloboCar">
    <w:name w:val="Texto de globo Car"/>
    <w:basedOn w:val="Fuentedeprrafopredeter"/>
    <w:link w:val="Textodeglobo"/>
    <w:uiPriority w:val="99"/>
    <w:semiHidden/>
    <w:rsid w:val="008A00CE"/>
    <w:rPr>
      <w:rFonts w:ascii="Tahoma" w:eastAsia="MS Mincho"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3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1457</Words>
  <Characters>8016</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EPFL</Company>
  <LinksUpToDate>false</LinksUpToDate>
  <CharactersWithSpaces>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Mattavelli Marco; Jaime Delgado</dc:creator>
  <cp:lastModifiedBy>Jaime Delgado</cp:lastModifiedBy>
  <cp:revision>6</cp:revision>
  <dcterms:created xsi:type="dcterms:W3CDTF">2014-07-10T02:37:00Z</dcterms:created>
  <dcterms:modified xsi:type="dcterms:W3CDTF">2014-07-10T03:44:00Z</dcterms:modified>
</cp:coreProperties>
</file>