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1C5523" w:rsidRDefault="00857533" w:rsidP="00857533">
      <w:pPr>
        <w:jc w:val="center"/>
        <w:rPr>
          <w:b/>
          <w:sz w:val="28"/>
          <w:lang w:val="it-IT"/>
        </w:rPr>
      </w:pPr>
      <w:r w:rsidRPr="001C5523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1C5523">
        <w:rPr>
          <w:b/>
          <w:sz w:val="48"/>
        </w:rPr>
        <w:t>1</w:t>
      </w:r>
      <w:r w:rsidR="00D265F9">
        <w:rPr>
          <w:b/>
          <w:sz w:val="48"/>
        </w:rPr>
        <w:t>51</w:t>
      </w:r>
      <w:r w:rsidR="001C5523">
        <w:rPr>
          <w:b/>
          <w:sz w:val="48"/>
        </w:rPr>
        <w:t>10</w:t>
      </w:r>
    </w:p>
    <w:p w:rsidR="00857533" w:rsidRPr="00857533" w:rsidRDefault="00D265F9" w:rsidP="00857533">
      <w:pPr>
        <w:jc w:val="right"/>
        <w:rPr>
          <w:b/>
          <w:sz w:val="28"/>
        </w:rPr>
      </w:pPr>
      <w:r>
        <w:rPr>
          <w:b/>
          <w:sz w:val="28"/>
        </w:rPr>
        <w:t xml:space="preserve"> Geneva, CH </w:t>
      </w:r>
      <w:r w:rsidR="00857533" w:rsidRPr="00857533">
        <w:rPr>
          <w:b/>
          <w:sz w:val="28"/>
        </w:rPr>
        <w:t xml:space="preserve">– </w:t>
      </w:r>
      <w:r>
        <w:rPr>
          <w:b/>
          <w:sz w:val="28"/>
        </w:rPr>
        <w:t>February</w:t>
      </w:r>
      <w:r w:rsidR="00857533" w:rsidRPr="00857533">
        <w:rPr>
          <w:b/>
          <w:sz w:val="28"/>
        </w:rPr>
        <w:t xml:space="preserve"> </w:t>
      </w:r>
      <w:r w:rsidR="001C5523">
        <w:rPr>
          <w:b/>
          <w:sz w:val="28"/>
        </w:rPr>
        <w:t>201</w:t>
      </w:r>
      <w:r>
        <w:rPr>
          <w:b/>
          <w:sz w:val="28"/>
        </w:rPr>
        <w:t>5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1C5523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1C5523" w:rsidP="00406BFA">
            <w:pPr>
              <w:rPr>
                <w:b/>
              </w:rPr>
            </w:pPr>
            <w:r w:rsidRPr="001C5523">
              <w:rPr>
                <w:b/>
              </w:rPr>
              <w:t>Call for patent statements on standards under development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1C5523" w:rsidP="00857533">
      <w:pPr>
        <w:jc w:val="center"/>
        <w:rPr>
          <w:b/>
          <w:sz w:val="28"/>
        </w:rPr>
      </w:pPr>
      <w:r w:rsidRPr="001C5523">
        <w:rPr>
          <w:b/>
          <w:sz w:val="28"/>
        </w:rPr>
        <w:t>Call for patent statements on standards under development</w:t>
      </w:r>
    </w:p>
    <w:p w:rsidR="00857533" w:rsidRDefault="00857533" w:rsidP="00857533"/>
    <w:p w:rsidR="00857533" w:rsidRDefault="00857533" w:rsidP="00857533"/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43"/>
        <w:gridCol w:w="717"/>
        <w:gridCol w:w="617"/>
        <w:gridCol w:w="5135"/>
        <w:tblGridChange w:id="0">
          <w:tblGrid>
            <w:gridCol w:w="563"/>
            <w:gridCol w:w="443"/>
            <w:gridCol w:w="717"/>
            <w:gridCol w:w="617"/>
            <w:gridCol w:w="5135"/>
          </w:tblGrid>
        </w:tblGridChange>
      </w:tblGrid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:rsidR="00D265F9" w:rsidRDefault="00D265F9" w:rsidP="00056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:rsidR="00D265F9" w:rsidRDefault="00D265F9" w:rsidP="00056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:rsidR="00D265F9" w:rsidRDefault="00D265F9" w:rsidP="00056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:rsidR="00D265F9" w:rsidRDefault="00D265F9" w:rsidP="00056A53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Systems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of Timeline for External Data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Carriage of Layered HEVC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Carriage of Green Metadata in MPEG-2 Systems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Profiles and Levels for MPEG-4 Audio Descriptor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2009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for Dynamic Range Control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A43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Conformance of 3D AVC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A44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Conformance of VCB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A45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MFC + Depth conf.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2001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A36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sz w:val="22"/>
                <w:szCs w:val="22"/>
                <w:lang w:val="en-US" w:eastAsia="ja-JP"/>
              </w:rPr>
              <w:t>Pattern-based 3D mesh coding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2001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A37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Levels for AAC Profiles and uniDRC support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</w:t>
            </w: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A38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VCB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200</w:t>
            </w: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A39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MFC + depth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ja-JP"/>
              </w:rPr>
            </w:pPr>
            <w:r>
              <w:rPr>
                <w:sz w:val="22"/>
                <w:szCs w:val="22"/>
                <w:lang w:val="en-US" w:eastAsia="ja-JP"/>
              </w:rPr>
              <w:t>MFC+depth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Scene description and appl. engine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Improved audio support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Carriage of Layered HEVC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3D-AVC including MVC 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Web3DG coding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Pattern-based 3D mesh coding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Open font format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2009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Pattern-based 3D mesh coding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bookmarkStart w:id="1" w:name="_GoBack"/>
            <w:bookmarkEnd w:id="1"/>
            <w:r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coding for browsers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cyan"/>
              </w:rPr>
              <w:t>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cyan"/>
              </w:rPr>
              <w:t>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CDVS RS &amp;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21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CEL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21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MCO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ue"/>
              </w:rPr>
            </w:pPr>
            <w:r>
              <w:rPr>
                <w:sz w:val="22"/>
                <w:szCs w:val="22"/>
                <w:highlight w:val="blue"/>
              </w:rPr>
              <w:t>A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ARAF </w:t>
            </w:r>
            <w:r>
              <w:rPr>
                <w:sz w:val="22"/>
                <w:szCs w:val="22"/>
                <w:lang w:eastAsia="ja-JP"/>
              </w:rPr>
              <w:t>RS &amp;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ue"/>
              </w:rPr>
            </w:pPr>
            <w:r>
              <w:rPr>
                <w:sz w:val="22"/>
                <w:szCs w:val="22"/>
                <w:highlight w:val="blue"/>
              </w:rPr>
              <w:t>A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ARAF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ue"/>
              </w:rPr>
            </w:pPr>
            <w:r>
              <w:rPr>
                <w:sz w:val="22"/>
                <w:szCs w:val="22"/>
                <w:highlight w:val="blue"/>
              </w:rPr>
              <w:t>A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MPAF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blue"/>
              </w:rPr>
            </w:pPr>
            <w:r>
              <w:rPr>
                <w:sz w:val="22"/>
                <w:szCs w:val="22"/>
                <w:highlight w:val="blue"/>
              </w:rPr>
              <w:t>A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PSAF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Parser Instantiation from BSD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Simple pattern-based encryption mode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lastRenderedPageBreak/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New audio code points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fr-FR" w:eastAsia="ja-JP"/>
              </w:rPr>
            </w:pPr>
            <w:r>
              <w:rPr>
                <w:sz w:val="22"/>
                <w:szCs w:val="22"/>
                <w:lang w:val="fr-FR" w:eastAsia="ja-JP"/>
              </w:rPr>
              <w:t>Sample aspect ratio etc.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Support of Sparse Encryption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Carriage of Timed Metadata Metrics in ISOBMFF 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Yellow"/>
              </w:rPr>
            </w:pPr>
            <w:r>
              <w:rPr>
                <w:sz w:val="22"/>
                <w:szCs w:val="22"/>
                <w:highlight w:val="darkYellow"/>
              </w:rPr>
              <w:t>B</w:t>
            </w:r>
          </w:p>
        </w:tc>
        <w:tc>
          <w:tcPr>
            <w:tcW w:w="0" w:type="auto"/>
          </w:tcPr>
          <w:p w:rsidR="00D265F9" w:rsidRDefault="00D265F9" w:rsidP="00056A53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Sample Variants in the ISOBMFF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RMC RS (HEVC)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D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Dynamic Range Control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Architecture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Control information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Sensory information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Virtual world object characteristics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Data formats for interaction devices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Common types and tools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highlight w:val="cyan"/>
                <w:lang w:eastAsia="ja-JP"/>
              </w:rPr>
            </w:pPr>
            <w:r>
              <w:rPr>
                <w:rFonts w:hint="eastAsia"/>
                <w:sz w:val="22"/>
                <w:szCs w:val="22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E3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val="en-US" w:eastAsia="ja-JP"/>
              </w:rPr>
            </w:pPr>
            <w:r>
              <w:rPr>
                <w:sz w:val="22"/>
                <w:szCs w:val="22"/>
                <w:lang w:val="en-US" w:eastAsia="ja-JP"/>
              </w:rPr>
              <w:t>RS &amp;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HEVC MV+depth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SCC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3D Audio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 w:eastAsia="ja-JP"/>
              </w:rPr>
            </w:pPr>
            <w:r>
              <w:rPr>
                <w:sz w:val="22"/>
                <w:szCs w:val="22"/>
                <w:lang w:val="it-IT" w:eastAsia="ja-JP"/>
              </w:rPr>
              <w:t xml:space="preserve">3D Audio P&amp;L 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val="it-IT" w:eastAsia="ja-JP"/>
              </w:rPr>
            </w:pPr>
            <w:r>
              <w:rPr>
                <w:sz w:val="22"/>
                <w:szCs w:val="22"/>
                <w:lang w:val="it-IT" w:eastAsia="ja-JP"/>
              </w:rPr>
              <w:t>3D Audio FF Support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MMT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HEVC RExt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MV-HEVC 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SHVC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3D HEVC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3D Audio RS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MMT Conformance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MV-HEVC/3D 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HEVC RExt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SHVC C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3D Audio Conf.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Still image FF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H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MMT Implem. Guidelines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DA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2014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A2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Spatial Relationship Description etc.</w:t>
            </w:r>
          </w:p>
        </w:tc>
      </w:tr>
      <w:tr w:rsidR="00D265F9" w:rsidTr="00D265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darkCyan"/>
              </w:rPr>
            </w:pPr>
            <w:r>
              <w:rPr>
                <w:sz w:val="22"/>
                <w:szCs w:val="22"/>
                <w:highlight w:val="darkCyan"/>
              </w:rPr>
              <w:t>DA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201x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E2</w:t>
            </w:r>
          </w:p>
        </w:tc>
        <w:tc>
          <w:tcPr>
            <w:tcW w:w="0" w:type="auto"/>
          </w:tcPr>
          <w:p w:rsidR="00D265F9" w:rsidRDefault="00D265F9" w:rsidP="00056A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Implementation Guidelines</w:t>
            </w:r>
          </w:p>
        </w:tc>
      </w:tr>
    </w:tbl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2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C5523"/>
    <w:rsid w:val="001D56A9"/>
    <w:rsid w:val="001E4B8A"/>
    <w:rsid w:val="001E6EEC"/>
    <w:rsid w:val="001F3C5D"/>
    <w:rsid w:val="00221F51"/>
    <w:rsid w:val="0024588F"/>
    <w:rsid w:val="00272D6B"/>
    <w:rsid w:val="002739A4"/>
    <w:rsid w:val="002757FE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265F9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364C3-9B3F-46B3-A128-2E152A0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1C5523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94A0-ACC6-4BBF-BAC5-CDD08B5E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3</TotalTime>
  <Pages>1</Pages>
  <Words>540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2015-02-27T22:08:00Z</dcterms:created>
  <dcterms:modified xsi:type="dcterms:W3CDTF">2015-02-27T22:10:00Z</dcterms:modified>
</cp:coreProperties>
</file>